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>NAME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: Ibezim, Emily Chika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MATRIC NUMBER: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17/mhs01/143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COURSE TITLE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: Histology of Special Senses and Neurohistology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COURSE CODE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: ANA 305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>QUESTION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With the aid of a diagram, write an essay on the histology of on an organ of corti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ORGAN OF CORTI</w:t>
      </w:r>
    </w:p>
    <w:p>
      <w:pPr>
        <w:spacing w:lineRule="auto" w:line="259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296418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0EF30C8E-F9C0-4FC0-85E0-981D86A97788/tmp/_d/fImage1644241367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648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b w:val="0"/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single"/>
          <w:rFonts w:ascii="NanumGothic" w:eastAsia="NanumGothic" w:hAnsi="NanumGothic" w:cs="NanumGothic"/>
        </w:rPr>
        <w:t>DEFINITION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Organ of Corti is a part of the cochlea and it mediates the sense of hearing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transducing pressure waves to action potentials. This structure is localized in the scala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media and it is formed by a series of hair cells, nervous terminations of spiral ganglion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and supporting cells.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It is a specialized sensory epithelium that allows for the transduction of sound vibrations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into neural signals. The organ of Corti itself is located on the basilar membrane.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organ of Corti rests on the basilar membrane. Strategically positioned on the basilar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membrane of the organ of Corti are three rows of outer hair cells (OHCs) and one row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inner hair cells (IHCs). Inner hair cells transduce sound from vibrations to neural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signals via the shearing action of their stereocilia. Outer hair cells serve a function as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acoustic pre-amplifiers which improve frequency selectivity by allowing the organ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Corti to become attuned to specific frequencies, like those of speech or music. Projecting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from the tops of the hair cells are tiny finger like projections called stereocilia, which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arranged in a graduated fashion with the shortest stereocilia on the outer rows and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longest in the center.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The fibrous tectorial membrane rests on top of the stereocilia or the outer hair cells.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Mutations in a alpha-tectorin, which encodes a protein specific to the tectorial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membrane, cause deafness.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Organ of Corti consists of different types of cells: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*Inner hair cells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*Outer hair cells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*Supporting cells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Inner Hair Cell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These cells are specialized in the mechanoelectrical transduction. There are almost 3500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cells disposed in one line along all the basilar membrane. They are connected to type 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neuron peripheral fibers of spiral ganglion, these connection are very divergent (10/1).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luminal part of the cell is immerged in endolymph, the basal one is immerged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normal extracellular fluid. The luminal portion is formed by bundles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stereocilia(inner_ear), whose tips are connected by filamentous structures called tip-links.</w:t>
      </w:r>
    </w:p>
    <w:p>
      <w:pPr>
        <w:spacing w:lineRule="auto" w:line="259"/>
        <w:rPr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Outer Hair Cell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These cells are acoustical pre-amplifiers. They are almost 12000, disposed in three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parallel lines. These cells are connected to type II amyelinic neurons, the connections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very convergent. They have also an afference from superior olivary nucleus. They have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contractile activity.</w:t>
      </w:r>
    </w:p>
    <w:p>
      <w:pPr>
        <w:spacing w:lineRule="auto" w:line="259"/>
        <w:rPr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Supporting Cells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These cells are of four different types: Corti pillars, Hensen cells, Deiters cells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Claudius cells.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4777740" cy="3173730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0EF30C8E-F9C0-4FC0-85E0-981D86A97788/tmp/_d/fImage2592361686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31743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Diagram showing the Organ of Corti and its supporting cells.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Deiters' cells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, also known as phalangeal cells or cells of Deiters, are a cell type found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within the inner ear. They contain both micro-filaments and micro-tubules which run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from the basilar membrane to the reticular membrane of the inner ear. They separate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support both the Outer Hair Cells and the Inner Hair Cells.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Beyond the hair cells and the Deiters’ cells are three other types of epithelial cells, usually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called the cells of Hensen, Claudius, and Boettcher, after the 19th-century anatomists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who first described them. Their function has not been established, but they are assumed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help in maintaining the composition of the endolymph by ion transport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absorptive activity.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addition, Endolymph fills the scala media and it is produced by stria vascularis.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64424136746.png"></Relationship><Relationship Id="rId6" Type="http://schemas.openxmlformats.org/officeDocument/2006/relationships/image" Target="media/fImage259236168669.pn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563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</dc:creator>
  <cp:lastModifiedBy>ibezimemily</cp:lastModifiedBy>
</cp:coreProperties>
</file>