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103" w:rsidRPr="003D609A" w:rsidRDefault="006C2103" w:rsidP="006C2103">
      <w:pPr>
        <w:spacing w:after="0" w:line="240" w:lineRule="auto"/>
        <w:rPr>
          <w:rFonts w:ascii="Arial" w:hAnsi="Arial" w:cs="Arial"/>
          <w:color w:val="222222"/>
          <w:sz w:val="24"/>
          <w:szCs w:val="24"/>
          <w:shd w:val="clear" w:color="auto" w:fill="FFFFFF"/>
        </w:rPr>
      </w:pPr>
      <w:r w:rsidRPr="003D609A">
        <w:rPr>
          <w:rFonts w:ascii="Arial" w:hAnsi="Arial" w:cs="Arial"/>
          <w:color w:val="222222"/>
          <w:sz w:val="24"/>
          <w:szCs w:val="24"/>
          <w:shd w:val="clear" w:color="auto" w:fill="FFFFFF"/>
        </w:rPr>
        <w:t>Name: Oluwatamilore Fathiat Okeleye</w:t>
      </w:r>
    </w:p>
    <w:p w:rsidR="006C2103" w:rsidRPr="003D609A" w:rsidRDefault="006C2103" w:rsidP="006C2103">
      <w:pPr>
        <w:spacing w:after="0" w:line="240" w:lineRule="auto"/>
        <w:rPr>
          <w:rFonts w:ascii="Arial" w:hAnsi="Arial" w:cs="Arial"/>
          <w:color w:val="222222"/>
          <w:sz w:val="24"/>
          <w:szCs w:val="24"/>
          <w:shd w:val="clear" w:color="auto" w:fill="FFFFFF"/>
        </w:rPr>
      </w:pPr>
      <w:r w:rsidRPr="003D609A">
        <w:rPr>
          <w:rFonts w:ascii="Arial" w:hAnsi="Arial" w:cs="Arial"/>
          <w:color w:val="222222"/>
          <w:sz w:val="24"/>
          <w:szCs w:val="24"/>
          <w:shd w:val="clear" w:color="auto" w:fill="FFFFFF"/>
        </w:rPr>
        <w:t>Department: MBBS</w:t>
      </w:r>
    </w:p>
    <w:p w:rsidR="006C2103" w:rsidRDefault="006C2103" w:rsidP="006C2103">
      <w:pPr>
        <w:spacing w:after="0" w:line="240" w:lineRule="auto"/>
        <w:rPr>
          <w:rFonts w:ascii="Arial" w:hAnsi="Arial" w:cs="Arial"/>
          <w:color w:val="222222"/>
          <w:sz w:val="24"/>
          <w:szCs w:val="24"/>
          <w:shd w:val="clear" w:color="auto" w:fill="FFFFFF"/>
        </w:rPr>
      </w:pPr>
      <w:r w:rsidRPr="003D609A">
        <w:rPr>
          <w:rFonts w:ascii="Arial" w:hAnsi="Arial" w:cs="Arial"/>
          <w:color w:val="222222"/>
          <w:sz w:val="24"/>
          <w:szCs w:val="24"/>
          <w:shd w:val="clear" w:color="auto" w:fill="FFFFFF"/>
        </w:rPr>
        <w:t>Matric no: 19/MHS01/313</w:t>
      </w:r>
    </w:p>
    <w:p w:rsidR="00DD438E" w:rsidRDefault="00DD438E" w:rsidP="006C2103">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Course: GST122</w:t>
      </w:r>
    </w:p>
    <w:p w:rsidR="00DD438E" w:rsidRDefault="00DD438E" w:rsidP="006C2103">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Communication in English</w:t>
      </w:r>
    </w:p>
    <w:p w:rsidR="00DD438E" w:rsidRPr="003D609A" w:rsidRDefault="00DD438E" w:rsidP="006C2103">
      <w:pPr>
        <w:spacing w:after="0" w:line="240" w:lineRule="auto"/>
        <w:rPr>
          <w:rFonts w:ascii="Arial" w:hAnsi="Arial" w:cs="Arial"/>
          <w:color w:val="222222"/>
          <w:sz w:val="24"/>
          <w:szCs w:val="24"/>
          <w:shd w:val="clear" w:color="auto" w:fill="FFFFFF"/>
        </w:rPr>
      </w:pPr>
    </w:p>
    <w:p w:rsidR="006C2103" w:rsidRPr="003D609A" w:rsidRDefault="006C2103" w:rsidP="006C2103">
      <w:pPr>
        <w:jc w:val="center"/>
        <w:rPr>
          <w:rFonts w:ascii="Arial" w:hAnsi="Arial" w:cs="Arial"/>
          <w:color w:val="222222"/>
          <w:sz w:val="52"/>
          <w:szCs w:val="52"/>
          <w:shd w:val="clear" w:color="auto" w:fill="FFFFFF"/>
        </w:rPr>
      </w:pPr>
      <w:r w:rsidRPr="003D609A">
        <w:rPr>
          <w:rFonts w:ascii="Arial" w:hAnsi="Arial" w:cs="Arial"/>
          <w:color w:val="222222"/>
          <w:sz w:val="52"/>
          <w:szCs w:val="52"/>
          <w:shd w:val="clear" w:color="auto" w:fill="FFFFFF"/>
        </w:rPr>
        <w:t>Racism and white supremacy</w:t>
      </w:r>
    </w:p>
    <w:p w:rsidR="000C0605" w:rsidRPr="009E43EB" w:rsidRDefault="006C2103" w:rsidP="00DD438E">
      <w:pPr>
        <w:spacing w:after="120" w:line="360" w:lineRule="auto"/>
        <w:rPr>
          <w:rFonts w:ascii="Arial" w:hAnsi="Arial" w:cs="Arial"/>
          <w:color w:val="222222"/>
          <w:sz w:val="28"/>
          <w:szCs w:val="28"/>
          <w:shd w:val="clear" w:color="auto" w:fill="FFFFFF"/>
        </w:rPr>
      </w:pPr>
      <w:r w:rsidRPr="009E43EB">
        <w:rPr>
          <w:rFonts w:ascii="Arial" w:hAnsi="Arial" w:cs="Arial"/>
          <w:color w:val="222222"/>
          <w:sz w:val="28"/>
          <w:szCs w:val="28"/>
          <w:shd w:val="clear" w:color="auto" w:fill="FFFFFF"/>
        </w:rPr>
        <w:t xml:space="preserve">Racism: </w:t>
      </w:r>
      <w:r w:rsidR="001248A0" w:rsidRPr="009E43EB">
        <w:rPr>
          <w:rFonts w:ascii="Arial" w:hAnsi="Arial" w:cs="Arial"/>
          <w:color w:val="222222"/>
          <w:sz w:val="28"/>
          <w:szCs w:val="28"/>
          <w:shd w:val="clear" w:color="auto" w:fill="FFFFFF"/>
        </w:rPr>
        <w:t>prejudice, discrimination, or antagonism directed against a person or people on the basis of their membership of a particular racial or ethnic group, typically one that is a minority or marginalized.</w:t>
      </w:r>
    </w:p>
    <w:p w:rsidR="001248A0" w:rsidRPr="009E43EB" w:rsidRDefault="001248A0" w:rsidP="00DD438E">
      <w:pPr>
        <w:spacing w:after="120" w:line="360" w:lineRule="auto"/>
        <w:rPr>
          <w:rFonts w:ascii="Arial" w:hAnsi="Arial" w:cs="Arial"/>
          <w:color w:val="202122"/>
          <w:sz w:val="28"/>
          <w:szCs w:val="28"/>
          <w:shd w:val="clear" w:color="auto" w:fill="FFFFFF"/>
        </w:rPr>
      </w:pPr>
      <w:r w:rsidRPr="009E43EB">
        <w:rPr>
          <w:rFonts w:ascii="Arial" w:hAnsi="Arial" w:cs="Arial"/>
          <w:bCs/>
          <w:color w:val="202122"/>
          <w:sz w:val="28"/>
          <w:szCs w:val="28"/>
          <w:shd w:val="clear" w:color="auto" w:fill="FFFFFF"/>
        </w:rPr>
        <w:t>White supremacy</w:t>
      </w:r>
      <w:r w:rsidR="006C2103" w:rsidRPr="009E43EB">
        <w:rPr>
          <w:rFonts w:ascii="Arial" w:hAnsi="Arial" w:cs="Arial"/>
          <w:color w:val="202122"/>
          <w:sz w:val="28"/>
          <w:szCs w:val="28"/>
          <w:shd w:val="clear" w:color="auto" w:fill="FFFFFF"/>
        </w:rPr>
        <w:t xml:space="preserve">: </w:t>
      </w:r>
      <w:r w:rsidRPr="009E43EB">
        <w:rPr>
          <w:rFonts w:ascii="Arial" w:hAnsi="Arial" w:cs="Arial"/>
          <w:color w:val="202122"/>
          <w:sz w:val="28"/>
          <w:szCs w:val="28"/>
          <w:shd w:val="clear" w:color="auto" w:fill="FFFFFF"/>
        </w:rPr>
        <w:t>is the </w:t>
      </w:r>
      <w:r w:rsidRPr="009E43EB">
        <w:rPr>
          <w:rFonts w:ascii="Arial" w:hAnsi="Arial" w:cs="Arial"/>
          <w:sz w:val="28"/>
          <w:szCs w:val="28"/>
          <w:shd w:val="clear" w:color="auto" w:fill="FFFFFF"/>
        </w:rPr>
        <w:t>racist</w:t>
      </w:r>
      <w:r w:rsidRPr="009E43EB">
        <w:rPr>
          <w:rFonts w:ascii="Arial" w:hAnsi="Arial" w:cs="Arial"/>
          <w:color w:val="202122"/>
          <w:sz w:val="28"/>
          <w:szCs w:val="28"/>
          <w:shd w:val="clear" w:color="auto" w:fill="FFFFFF"/>
        </w:rPr>
        <w:t> belief that </w:t>
      </w:r>
      <w:r w:rsidRPr="009E43EB">
        <w:rPr>
          <w:rFonts w:ascii="Arial" w:hAnsi="Arial" w:cs="Arial"/>
          <w:sz w:val="28"/>
          <w:szCs w:val="28"/>
          <w:shd w:val="clear" w:color="auto" w:fill="FFFFFF"/>
        </w:rPr>
        <w:t>white people</w:t>
      </w:r>
      <w:r w:rsidRPr="009E43EB">
        <w:rPr>
          <w:rFonts w:ascii="Arial" w:hAnsi="Arial" w:cs="Arial"/>
          <w:color w:val="202122"/>
          <w:sz w:val="28"/>
          <w:szCs w:val="28"/>
          <w:shd w:val="clear" w:color="auto" w:fill="FFFFFF"/>
        </w:rPr>
        <w:t> are superior to people of other </w:t>
      </w:r>
      <w:r w:rsidRPr="009E43EB">
        <w:rPr>
          <w:rFonts w:ascii="Arial" w:hAnsi="Arial" w:cs="Arial"/>
          <w:sz w:val="28"/>
          <w:szCs w:val="28"/>
          <w:shd w:val="clear" w:color="auto" w:fill="FFFFFF"/>
        </w:rPr>
        <w:t>races</w:t>
      </w:r>
      <w:r w:rsidRPr="009E43EB">
        <w:rPr>
          <w:rFonts w:ascii="Arial" w:hAnsi="Arial" w:cs="Arial"/>
          <w:color w:val="202122"/>
          <w:sz w:val="28"/>
          <w:szCs w:val="28"/>
          <w:shd w:val="clear" w:color="auto" w:fill="FFFFFF"/>
        </w:rPr>
        <w:t> and therefore should be dominant over them.</w:t>
      </w:r>
    </w:p>
    <w:p w:rsidR="006A34A3" w:rsidRDefault="006A34A3" w:rsidP="00DD438E">
      <w:pPr>
        <w:spacing w:after="120" w:line="360" w:lineRule="auto"/>
        <w:rPr>
          <w:rFonts w:ascii="Arial" w:hAnsi="Arial" w:cs="Arial"/>
          <w:color w:val="202122"/>
          <w:sz w:val="21"/>
          <w:szCs w:val="21"/>
          <w:shd w:val="clear" w:color="auto" w:fill="FFFFFF"/>
        </w:rPr>
      </w:pPr>
    </w:p>
    <w:p w:rsidR="009E43EB" w:rsidRPr="003D609A" w:rsidRDefault="006A34A3" w:rsidP="00DD438E">
      <w:pPr>
        <w:spacing w:after="120" w:line="360" w:lineRule="auto"/>
        <w:rPr>
          <w:rFonts w:ascii="Arial" w:hAnsi="Arial" w:cs="Arial"/>
          <w:color w:val="202122"/>
          <w:sz w:val="28"/>
          <w:szCs w:val="28"/>
          <w:shd w:val="clear" w:color="auto" w:fill="FFFFFF"/>
        </w:rPr>
      </w:pPr>
      <w:r w:rsidRPr="003D609A">
        <w:rPr>
          <w:rFonts w:ascii="Arial" w:hAnsi="Arial" w:cs="Arial"/>
          <w:color w:val="202122"/>
          <w:sz w:val="28"/>
          <w:szCs w:val="28"/>
          <w:shd w:val="clear" w:color="auto" w:fill="FFFFFF"/>
        </w:rPr>
        <w:t>These two words are key in our society today. It has been around since</w:t>
      </w:r>
      <w:r w:rsidR="003D609A">
        <w:rPr>
          <w:rFonts w:ascii="Arial" w:hAnsi="Arial" w:cs="Arial"/>
          <w:color w:val="202122"/>
          <w:sz w:val="28"/>
          <w:szCs w:val="28"/>
          <w:shd w:val="clear" w:color="auto" w:fill="FFFFFF"/>
        </w:rPr>
        <w:t xml:space="preserve"> </w:t>
      </w:r>
      <w:r w:rsidR="003D609A">
        <w:rPr>
          <w:rFonts w:ascii="Arial" w:hAnsi="Arial" w:cs="Arial"/>
          <w:color w:val="000000" w:themeColor="text1"/>
          <w:sz w:val="28"/>
          <w:szCs w:val="28"/>
        </w:rPr>
        <w:t>b</w:t>
      </w:r>
      <w:r w:rsidR="009E43EB" w:rsidRPr="003D609A">
        <w:rPr>
          <w:rFonts w:ascii="Arial" w:hAnsi="Arial" w:cs="Arial"/>
          <w:color w:val="000000" w:themeColor="text1"/>
          <w:sz w:val="28"/>
          <w:szCs w:val="28"/>
        </w:rPr>
        <w:t>etween 1525 and 1866</w:t>
      </w:r>
      <w:r w:rsidR="003D609A">
        <w:rPr>
          <w:rFonts w:ascii="Arial" w:hAnsi="Arial" w:cs="Arial"/>
          <w:color w:val="000000" w:themeColor="text1"/>
          <w:sz w:val="28"/>
          <w:szCs w:val="28"/>
        </w:rPr>
        <w:t xml:space="preserve">. And started when </w:t>
      </w:r>
      <w:hyperlink r:id="rId6" w:history="1">
        <w:r w:rsidR="009E43EB" w:rsidRPr="003D609A">
          <w:rPr>
            <w:rFonts w:ascii="Arial" w:hAnsi="Arial" w:cs="Arial"/>
            <w:color w:val="000000" w:themeColor="text1"/>
            <w:sz w:val="28"/>
            <w:szCs w:val="28"/>
          </w:rPr>
          <w:t>12.5 million people</w:t>
        </w:r>
      </w:hyperlink>
      <w:r w:rsidR="009E43EB" w:rsidRPr="003D609A">
        <w:rPr>
          <w:rFonts w:ascii="Arial" w:hAnsi="Arial" w:cs="Arial"/>
          <w:color w:val="000000" w:themeColor="text1"/>
          <w:sz w:val="28"/>
          <w:szCs w:val="28"/>
        </w:rPr>
        <w:t> were kidnapped from Africa and sent to the Americas through the </w:t>
      </w:r>
      <w:hyperlink r:id="rId7" w:history="1">
        <w:r w:rsidR="009E43EB" w:rsidRPr="003D609A">
          <w:rPr>
            <w:rFonts w:ascii="Arial" w:hAnsi="Arial" w:cs="Arial"/>
            <w:bCs/>
            <w:color w:val="000000" w:themeColor="text1"/>
            <w:sz w:val="28"/>
            <w:szCs w:val="28"/>
          </w:rPr>
          <w:t>transatlantic slave trade</w:t>
        </w:r>
      </w:hyperlink>
      <w:r w:rsidR="009E43EB" w:rsidRPr="003D609A">
        <w:rPr>
          <w:rFonts w:ascii="Arial" w:hAnsi="Arial" w:cs="Arial"/>
          <w:color w:val="000000" w:themeColor="text1"/>
          <w:sz w:val="28"/>
          <w:szCs w:val="28"/>
        </w:rPr>
        <w:t>. Upon reaching the New World, some 3.9 million of the 10.7 mi</w:t>
      </w:r>
      <w:r w:rsidR="003D609A">
        <w:rPr>
          <w:rFonts w:ascii="Arial" w:hAnsi="Arial" w:cs="Arial"/>
          <w:color w:val="000000" w:themeColor="text1"/>
          <w:sz w:val="28"/>
          <w:szCs w:val="28"/>
        </w:rPr>
        <w:t>llion who survived the</w:t>
      </w:r>
      <w:r w:rsidR="009E43EB" w:rsidRPr="003D609A">
        <w:rPr>
          <w:rFonts w:ascii="Arial" w:hAnsi="Arial" w:cs="Arial"/>
          <w:color w:val="000000" w:themeColor="text1"/>
          <w:sz w:val="28"/>
          <w:szCs w:val="28"/>
        </w:rPr>
        <w:t xml:space="preserve"> two-month journey were enslaved in the United States. Comprehending the sheer scale of this forced migration—and slavery’s </w:t>
      </w:r>
      <w:r w:rsidR="003D609A" w:rsidRPr="003D609A">
        <w:rPr>
          <w:rFonts w:ascii="Arial" w:hAnsi="Arial" w:cs="Arial"/>
          <w:color w:val="000000" w:themeColor="text1"/>
          <w:sz w:val="28"/>
          <w:szCs w:val="28"/>
        </w:rPr>
        <w:t>following</w:t>
      </w:r>
      <w:hyperlink r:id="rId8" w:history="1">
        <w:r w:rsidR="009E43EB" w:rsidRPr="003D609A">
          <w:rPr>
            <w:rFonts w:ascii="Arial" w:hAnsi="Arial" w:cs="Arial"/>
            <w:color w:val="000000" w:themeColor="text1"/>
            <w:sz w:val="28"/>
            <w:szCs w:val="28"/>
          </w:rPr>
          <w:t> </w:t>
        </w:r>
        <w:r w:rsidR="009E43EB" w:rsidRPr="003D609A">
          <w:rPr>
            <w:rFonts w:ascii="Arial" w:hAnsi="Arial" w:cs="Arial"/>
            <w:bCs/>
            <w:color w:val="000000" w:themeColor="text1"/>
            <w:sz w:val="28"/>
            <w:szCs w:val="28"/>
          </w:rPr>
          <w:t>spread across the country</w:t>
        </w:r>
      </w:hyperlink>
      <w:r w:rsidR="009E43EB" w:rsidRPr="003D609A">
        <w:rPr>
          <w:rFonts w:ascii="Arial" w:hAnsi="Arial" w:cs="Arial"/>
          <w:color w:val="000000" w:themeColor="text1"/>
          <w:sz w:val="28"/>
          <w:szCs w:val="28"/>
        </w:rPr>
        <w:t> via</w:t>
      </w:r>
      <w:hyperlink r:id="rId9" w:history="1">
        <w:r w:rsidR="009E43EB" w:rsidRPr="003D609A">
          <w:rPr>
            <w:rFonts w:ascii="Arial" w:hAnsi="Arial" w:cs="Arial"/>
            <w:color w:val="000000" w:themeColor="text1"/>
            <w:sz w:val="28"/>
            <w:szCs w:val="28"/>
          </w:rPr>
          <w:t> </w:t>
        </w:r>
        <w:r w:rsidR="009E43EB" w:rsidRPr="003D609A">
          <w:rPr>
            <w:rFonts w:ascii="Arial" w:hAnsi="Arial" w:cs="Arial"/>
            <w:bCs/>
            <w:color w:val="000000" w:themeColor="text1"/>
            <w:sz w:val="28"/>
            <w:szCs w:val="28"/>
          </w:rPr>
          <w:t>interregional trade</w:t>
        </w:r>
      </w:hyperlink>
      <w:r w:rsidR="009E43EB" w:rsidRPr="003D609A">
        <w:rPr>
          <w:rFonts w:ascii="Arial" w:hAnsi="Arial" w:cs="Arial"/>
          <w:color w:val="000000" w:themeColor="text1"/>
          <w:sz w:val="28"/>
          <w:szCs w:val="28"/>
        </w:rPr>
        <w:t>—can be a daunting task, but as historian</w:t>
      </w:r>
      <w:hyperlink r:id="rId10" w:tgtFrame="_blank" w:history="1">
        <w:r w:rsidR="009E43EB" w:rsidRPr="003D609A">
          <w:rPr>
            <w:rFonts w:ascii="Arial" w:hAnsi="Arial" w:cs="Arial"/>
            <w:color w:val="000000" w:themeColor="text1"/>
            <w:sz w:val="28"/>
            <w:szCs w:val="28"/>
          </w:rPr>
          <w:t> Leslie Harris</w:t>
        </w:r>
      </w:hyperlink>
      <w:r w:rsidR="009E43EB" w:rsidRPr="003D609A">
        <w:rPr>
          <w:rFonts w:ascii="Arial" w:hAnsi="Arial" w:cs="Arial"/>
          <w:color w:val="000000" w:themeColor="text1"/>
          <w:sz w:val="28"/>
          <w:szCs w:val="28"/>
        </w:rPr>
        <w:t> told</w:t>
      </w:r>
      <w:hyperlink r:id="rId11" w:history="1">
        <w:r w:rsidR="009E43EB" w:rsidRPr="003D609A">
          <w:rPr>
            <w:rFonts w:ascii="Arial" w:hAnsi="Arial" w:cs="Arial"/>
            <w:color w:val="000000" w:themeColor="text1"/>
            <w:sz w:val="28"/>
            <w:szCs w:val="28"/>
          </w:rPr>
          <w:t> </w:t>
        </w:r>
        <w:r w:rsidR="009E43EB" w:rsidRPr="003D609A">
          <w:rPr>
            <w:rFonts w:ascii="Arial" w:hAnsi="Arial" w:cs="Arial"/>
            <w:i/>
            <w:iCs/>
            <w:color w:val="000000" w:themeColor="text1"/>
            <w:sz w:val="28"/>
            <w:szCs w:val="28"/>
          </w:rPr>
          <w:t>Smithsonian</w:t>
        </w:r>
      </w:hyperlink>
      <w:r w:rsidR="009E43EB" w:rsidRPr="003D609A">
        <w:rPr>
          <w:rFonts w:ascii="Arial" w:hAnsi="Arial" w:cs="Arial"/>
          <w:color w:val="000000" w:themeColor="text1"/>
          <w:sz w:val="28"/>
          <w:szCs w:val="28"/>
        </w:rPr>
        <w:t>’s Amy Crawford earlier this year, framing “these big concepts in terms of individual lives … can [help you] better understand what these things mean.”</w:t>
      </w:r>
    </w:p>
    <w:p w:rsidR="00DD438E" w:rsidRDefault="003D609A" w:rsidP="00DD438E">
      <w:pPr>
        <w:spacing w:before="360" w:after="120" w:line="360" w:lineRule="auto"/>
        <w:rPr>
          <w:rFonts w:ascii="Arial" w:eastAsia="Times New Roman" w:hAnsi="Arial" w:cs="Arial"/>
          <w:color w:val="000000" w:themeColor="text1"/>
          <w:sz w:val="28"/>
          <w:szCs w:val="28"/>
        </w:rPr>
      </w:pPr>
      <w:r w:rsidRPr="003D609A">
        <w:rPr>
          <w:rFonts w:ascii="Arial" w:eastAsia="Times New Roman" w:hAnsi="Arial" w:cs="Arial"/>
          <w:color w:val="000000" w:themeColor="text1"/>
          <w:sz w:val="28"/>
          <w:szCs w:val="28"/>
        </w:rPr>
        <w:t xml:space="preserve">Racial, economic and educational disparities are deeply </w:t>
      </w:r>
      <w:r w:rsidR="00897462" w:rsidRPr="003D609A">
        <w:rPr>
          <w:rFonts w:ascii="Arial" w:eastAsia="Times New Roman" w:hAnsi="Arial" w:cs="Arial"/>
          <w:color w:val="000000" w:themeColor="text1"/>
          <w:sz w:val="28"/>
          <w:szCs w:val="28"/>
        </w:rPr>
        <w:t>rooted</w:t>
      </w:r>
      <w:r w:rsidRPr="003D609A">
        <w:rPr>
          <w:rFonts w:ascii="Arial" w:eastAsia="Times New Roman" w:hAnsi="Arial" w:cs="Arial"/>
          <w:color w:val="000000" w:themeColor="text1"/>
          <w:sz w:val="28"/>
          <w:szCs w:val="28"/>
        </w:rPr>
        <w:t xml:space="preserve"> in U.S. institutions. Though the Declaration of Independence states that “all men are created equal,” American democracy has historically—and often</w:t>
      </w:r>
      <w:hyperlink r:id="rId12" w:history="1">
        <w:r w:rsidRPr="003D609A">
          <w:rPr>
            <w:rFonts w:ascii="Arial" w:eastAsia="Times New Roman" w:hAnsi="Arial" w:cs="Arial"/>
            <w:color w:val="000000" w:themeColor="text1"/>
            <w:sz w:val="28"/>
            <w:szCs w:val="28"/>
          </w:rPr>
          <w:t> </w:t>
        </w:r>
        <w:r w:rsidRPr="003D609A">
          <w:rPr>
            <w:rFonts w:ascii="Arial" w:eastAsia="Times New Roman" w:hAnsi="Arial" w:cs="Arial"/>
            <w:bCs/>
            <w:color w:val="000000" w:themeColor="text1"/>
            <w:sz w:val="28"/>
            <w:szCs w:val="28"/>
          </w:rPr>
          <w:t>violently</w:t>
        </w:r>
      </w:hyperlink>
      <w:r w:rsidRPr="003D609A">
        <w:rPr>
          <w:rFonts w:ascii="Arial" w:eastAsia="Times New Roman" w:hAnsi="Arial" w:cs="Arial"/>
          <w:color w:val="000000" w:themeColor="text1"/>
          <w:sz w:val="28"/>
          <w:szCs w:val="28"/>
        </w:rPr>
        <w:t>—excluded certain groups</w:t>
      </w:r>
      <w:r w:rsidR="00DD438E">
        <w:rPr>
          <w:rFonts w:ascii="Arial" w:eastAsia="Times New Roman" w:hAnsi="Arial" w:cs="Arial"/>
          <w:color w:val="000000" w:themeColor="text1"/>
          <w:sz w:val="28"/>
          <w:szCs w:val="28"/>
        </w:rPr>
        <w:t>.</w:t>
      </w:r>
    </w:p>
    <w:p w:rsidR="003D609A" w:rsidRDefault="003D609A" w:rsidP="00DD438E">
      <w:pPr>
        <w:spacing w:before="360" w:after="120" w:line="360" w:lineRule="auto"/>
        <w:rPr>
          <w:rFonts w:ascii="Arial" w:eastAsia="Times New Roman" w:hAnsi="Arial" w:cs="Arial"/>
          <w:color w:val="000000" w:themeColor="text1"/>
          <w:sz w:val="28"/>
          <w:szCs w:val="28"/>
        </w:rPr>
      </w:pPr>
      <w:r w:rsidRPr="003D609A">
        <w:rPr>
          <w:rFonts w:ascii="Arial" w:eastAsia="Times New Roman" w:hAnsi="Arial" w:cs="Arial"/>
          <w:color w:val="000000" w:themeColor="text1"/>
          <w:sz w:val="28"/>
          <w:szCs w:val="28"/>
        </w:rPr>
        <w:lastRenderedPageBreak/>
        <w:t>Instances of inequality range from the obvious to less overtly discri</w:t>
      </w:r>
      <w:bookmarkStart w:id="0" w:name="_GoBack"/>
      <w:bookmarkEnd w:id="0"/>
      <w:r w:rsidRPr="003D609A">
        <w:rPr>
          <w:rFonts w:ascii="Arial" w:eastAsia="Times New Roman" w:hAnsi="Arial" w:cs="Arial"/>
          <w:color w:val="000000" w:themeColor="text1"/>
          <w:sz w:val="28"/>
          <w:szCs w:val="28"/>
        </w:rPr>
        <w:t>minatory policies and belief systems. Historical examples of the former include</w:t>
      </w:r>
      <w:hyperlink r:id="rId13" w:history="1">
        <w:r w:rsidRPr="003D609A">
          <w:rPr>
            <w:rFonts w:ascii="Arial" w:eastAsia="Times New Roman" w:hAnsi="Arial" w:cs="Arial"/>
            <w:color w:val="000000" w:themeColor="text1"/>
            <w:sz w:val="28"/>
            <w:szCs w:val="28"/>
          </w:rPr>
          <w:t> </w:t>
        </w:r>
        <w:r w:rsidRPr="003D609A">
          <w:rPr>
            <w:rFonts w:ascii="Arial" w:eastAsia="Times New Roman" w:hAnsi="Arial" w:cs="Arial"/>
            <w:bCs/>
            <w:color w:val="000000" w:themeColor="text1"/>
            <w:sz w:val="28"/>
            <w:szCs w:val="28"/>
          </w:rPr>
          <w:t>poll taxes</w:t>
        </w:r>
      </w:hyperlink>
      <w:r w:rsidRPr="003D609A">
        <w:rPr>
          <w:rFonts w:ascii="Arial" w:eastAsia="Times New Roman" w:hAnsi="Arial" w:cs="Arial"/>
          <w:color w:val="000000" w:themeColor="text1"/>
          <w:sz w:val="28"/>
          <w:szCs w:val="28"/>
        </w:rPr>
        <w:t> that effectively disenfranchised African American voters; the marginalization of</w:t>
      </w:r>
      <w:hyperlink r:id="rId14" w:tgtFrame="_blank" w:history="1">
        <w:r w:rsidRPr="003D609A">
          <w:rPr>
            <w:rFonts w:ascii="Arial" w:eastAsia="Times New Roman" w:hAnsi="Arial" w:cs="Arial"/>
            <w:color w:val="000000" w:themeColor="text1"/>
            <w:sz w:val="28"/>
            <w:szCs w:val="28"/>
          </w:rPr>
          <w:t> </w:t>
        </w:r>
        <w:r w:rsidRPr="003D609A">
          <w:rPr>
            <w:rFonts w:ascii="Arial" w:eastAsia="Times New Roman" w:hAnsi="Arial" w:cs="Arial"/>
            <w:bCs/>
            <w:color w:val="000000" w:themeColor="text1"/>
            <w:sz w:val="28"/>
            <w:szCs w:val="28"/>
          </w:rPr>
          <w:t>African American soldiers</w:t>
        </w:r>
      </w:hyperlink>
      <w:r w:rsidRPr="003D609A">
        <w:rPr>
          <w:rFonts w:ascii="Arial" w:eastAsia="Times New Roman" w:hAnsi="Arial" w:cs="Arial"/>
          <w:color w:val="000000" w:themeColor="text1"/>
          <w:sz w:val="28"/>
          <w:szCs w:val="28"/>
        </w:rPr>
        <w:t> who</w:t>
      </w:r>
      <w:hyperlink r:id="rId15" w:history="1">
        <w:r w:rsidRPr="003D609A">
          <w:rPr>
            <w:rFonts w:ascii="Arial" w:eastAsia="Times New Roman" w:hAnsi="Arial" w:cs="Arial"/>
            <w:color w:val="000000" w:themeColor="text1"/>
            <w:sz w:val="28"/>
            <w:szCs w:val="28"/>
          </w:rPr>
          <w:t> </w:t>
        </w:r>
        <w:r w:rsidRPr="003D609A">
          <w:rPr>
            <w:rFonts w:ascii="Arial" w:eastAsia="Times New Roman" w:hAnsi="Arial" w:cs="Arial"/>
            <w:bCs/>
            <w:color w:val="000000" w:themeColor="text1"/>
            <w:sz w:val="28"/>
            <w:szCs w:val="28"/>
          </w:rPr>
          <w:t>fought in World War I</w:t>
        </w:r>
      </w:hyperlink>
      <w:r w:rsidRPr="003D609A">
        <w:rPr>
          <w:rFonts w:ascii="Arial" w:eastAsia="Times New Roman" w:hAnsi="Arial" w:cs="Arial"/>
          <w:color w:val="000000" w:themeColor="text1"/>
          <w:sz w:val="28"/>
          <w:szCs w:val="28"/>
        </w:rPr>
        <w:t> and</w:t>
      </w:r>
      <w:hyperlink r:id="rId16" w:history="1">
        <w:r w:rsidRPr="003D609A">
          <w:rPr>
            <w:rFonts w:ascii="Arial" w:eastAsia="Times New Roman" w:hAnsi="Arial" w:cs="Arial"/>
            <w:color w:val="000000" w:themeColor="text1"/>
            <w:sz w:val="28"/>
            <w:szCs w:val="28"/>
          </w:rPr>
          <w:t> </w:t>
        </w:r>
        <w:r w:rsidRPr="003D609A">
          <w:rPr>
            <w:rFonts w:ascii="Arial" w:eastAsia="Times New Roman" w:hAnsi="Arial" w:cs="Arial"/>
            <w:bCs/>
            <w:color w:val="000000" w:themeColor="text1"/>
            <w:sz w:val="28"/>
            <w:szCs w:val="28"/>
          </w:rPr>
          <w:t>World War II</w:t>
        </w:r>
      </w:hyperlink>
      <w:r w:rsidRPr="003D609A">
        <w:rPr>
          <w:rFonts w:ascii="Arial" w:eastAsia="Times New Roman" w:hAnsi="Arial" w:cs="Arial"/>
          <w:color w:val="000000" w:themeColor="text1"/>
          <w:sz w:val="28"/>
          <w:szCs w:val="28"/>
        </w:rPr>
        <w:t> but were treated like second-class citizens at home;</w:t>
      </w:r>
      <w:hyperlink r:id="rId17" w:history="1">
        <w:r w:rsidRPr="003D609A">
          <w:rPr>
            <w:rFonts w:ascii="Arial" w:eastAsia="Times New Roman" w:hAnsi="Arial" w:cs="Arial"/>
            <w:color w:val="000000" w:themeColor="text1"/>
            <w:sz w:val="28"/>
            <w:szCs w:val="28"/>
          </w:rPr>
          <w:t> </w:t>
        </w:r>
        <w:r w:rsidRPr="003D609A">
          <w:rPr>
            <w:rFonts w:ascii="Arial" w:eastAsia="Times New Roman" w:hAnsi="Arial" w:cs="Arial"/>
            <w:bCs/>
            <w:color w:val="000000" w:themeColor="text1"/>
            <w:sz w:val="28"/>
            <w:szCs w:val="28"/>
          </w:rPr>
          <w:t>black innovators</w:t>
        </w:r>
      </w:hyperlink>
      <w:r w:rsidRPr="003D609A">
        <w:rPr>
          <w:rFonts w:ascii="Arial" w:eastAsia="Times New Roman" w:hAnsi="Arial" w:cs="Arial"/>
          <w:color w:val="000000" w:themeColor="text1"/>
          <w:sz w:val="28"/>
          <w:szCs w:val="28"/>
        </w:rPr>
        <w:t> who were barred from filing patents for their inventions; white medical professionals’ exploitation of black women’s bodies</w:t>
      </w:r>
      <w:r w:rsidR="00DD438E">
        <w:rPr>
          <w:rFonts w:ascii="Arial" w:eastAsia="Times New Roman" w:hAnsi="Arial" w:cs="Arial"/>
          <w:color w:val="000000" w:themeColor="text1"/>
          <w:sz w:val="28"/>
          <w:szCs w:val="28"/>
        </w:rPr>
        <w:t>,</w:t>
      </w:r>
      <w:r w:rsidR="00DD438E" w:rsidRPr="003D609A">
        <w:rPr>
          <w:rFonts w:ascii="Arial" w:eastAsia="Times New Roman" w:hAnsi="Arial" w:cs="Arial"/>
          <w:color w:val="000000" w:themeColor="text1"/>
          <w:sz w:val="28"/>
          <w:szCs w:val="28"/>
        </w:rPr>
        <w:t xml:space="preserve"> the</w:t>
      </w:r>
      <w:r w:rsidRPr="003D609A">
        <w:rPr>
          <w:rFonts w:ascii="Arial" w:eastAsia="Times New Roman" w:hAnsi="Arial" w:cs="Arial"/>
          <w:color w:val="000000" w:themeColor="text1"/>
          <w:sz w:val="28"/>
          <w:szCs w:val="28"/>
        </w:rPr>
        <w:t xml:space="preserve"> government-mandated</w:t>
      </w:r>
      <w:hyperlink r:id="rId18" w:history="1">
        <w:r w:rsidRPr="003D609A">
          <w:rPr>
            <w:rFonts w:ascii="Arial" w:eastAsia="Times New Roman" w:hAnsi="Arial" w:cs="Arial"/>
            <w:color w:val="000000" w:themeColor="text1"/>
            <w:sz w:val="28"/>
            <w:szCs w:val="28"/>
          </w:rPr>
          <w:t> </w:t>
        </w:r>
        <w:r w:rsidRPr="003D609A">
          <w:rPr>
            <w:rFonts w:ascii="Arial" w:eastAsia="Times New Roman" w:hAnsi="Arial" w:cs="Arial"/>
            <w:bCs/>
            <w:color w:val="000000" w:themeColor="text1"/>
            <w:sz w:val="28"/>
            <w:szCs w:val="28"/>
          </w:rPr>
          <w:t>segregation of American cities</w:t>
        </w:r>
      </w:hyperlink>
      <w:r w:rsidRPr="003D609A">
        <w:rPr>
          <w:rFonts w:ascii="Arial" w:eastAsia="Times New Roman" w:hAnsi="Arial" w:cs="Arial"/>
          <w:color w:val="000000" w:themeColor="text1"/>
          <w:sz w:val="28"/>
          <w:szCs w:val="28"/>
        </w:rPr>
        <w:t>; and</w:t>
      </w:r>
      <w:hyperlink r:id="rId19" w:history="1">
        <w:r w:rsidRPr="003D609A">
          <w:rPr>
            <w:rFonts w:ascii="Arial" w:eastAsia="Times New Roman" w:hAnsi="Arial" w:cs="Arial"/>
            <w:color w:val="000000" w:themeColor="text1"/>
            <w:sz w:val="28"/>
            <w:szCs w:val="28"/>
          </w:rPr>
          <w:t> </w:t>
        </w:r>
        <w:r w:rsidRPr="003D609A">
          <w:rPr>
            <w:rFonts w:ascii="Arial" w:eastAsia="Times New Roman" w:hAnsi="Arial" w:cs="Arial"/>
            <w:bCs/>
            <w:color w:val="000000" w:themeColor="text1"/>
            <w:sz w:val="28"/>
            <w:szCs w:val="28"/>
          </w:rPr>
          <w:t>segregation in schools</w:t>
        </w:r>
      </w:hyperlink>
      <w:r w:rsidRPr="003D609A">
        <w:rPr>
          <w:rFonts w:ascii="Arial" w:eastAsia="Times New Roman" w:hAnsi="Arial" w:cs="Arial"/>
          <w:color w:val="000000" w:themeColor="text1"/>
          <w:sz w:val="28"/>
          <w:szCs w:val="28"/>
        </w:rPr>
        <w:t>.</w:t>
      </w:r>
    </w:p>
    <w:p w:rsidR="00DD438E" w:rsidRDefault="00DD438E" w:rsidP="00DD438E">
      <w:pPr>
        <w:spacing w:before="360" w:after="120" w:line="36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When it comes down to the basics, racism is still very much active, although unconscious, it is hard for a person of color to be accepted into the American society and be seen as one of them. And it isn’t going to stop anytime soon. There are so many underlining impacts it has have over the years, the person we get married to, the friends we hang out with, the schools we go to and even down to our workplace. It all comes down to the years our ancestors have endured being enslaved under the white hand.</w:t>
      </w:r>
    </w:p>
    <w:p w:rsidR="00DD438E" w:rsidRPr="003D609A" w:rsidRDefault="00DD438E" w:rsidP="00DD438E">
      <w:pPr>
        <w:spacing w:before="360" w:after="120" w:line="360" w:lineRule="auto"/>
        <w:rPr>
          <w:rFonts w:ascii="Arial" w:eastAsia="Times New Roman" w:hAnsi="Arial" w:cs="Arial"/>
          <w:color w:val="000000" w:themeColor="text1"/>
          <w:sz w:val="28"/>
          <w:szCs w:val="28"/>
        </w:rPr>
      </w:pPr>
    </w:p>
    <w:p w:rsidR="003D609A" w:rsidRPr="003D609A" w:rsidRDefault="003D609A">
      <w:pPr>
        <w:rPr>
          <w:color w:val="000000" w:themeColor="text1"/>
          <w:sz w:val="28"/>
          <w:szCs w:val="28"/>
        </w:rPr>
      </w:pPr>
    </w:p>
    <w:sectPr w:rsidR="003D609A" w:rsidRPr="003D60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E14" w:rsidRDefault="00E60E14" w:rsidP="006C2103">
      <w:pPr>
        <w:spacing w:after="0" w:line="240" w:lineRule="auto"/>
      </w:pPr>
      <w:r>
        <w:separator/>
      </w:r>
    </w:p>
  </w:endnote>
  <w:endnote w:type="continuationSeparator" w:id="0">
    <w:p w:rsidR="00E60E14" w:rsidRDefault="00E60E14" w:rsidP="006C2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E14" w:rsidRDefault="00E60E14" w:rsidP="006C2103">
      <w:pPr>
        <w:spacing w:after="0" w:line="240" w:lineRule="auto"/>
      </w:pPr>
      <w:r>
        <w:separator/>
      </w:r>
    </w:p>
  </w:footnote>
  <w:footnote w:type="continuationSeparator" w:id="0">
    <w:p w:rsidR="00E60E14" w:rsidRDefault="00E60E14" w:rsidP="006C21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8A0"/>
    <w:rsid w:val="000C0605"/>
    <w:rsid w:val="001248A0"/>
    <w:rsid w:val="003D609A"/>
    <w:rsid w:val="006A34A3"/>
    <w:rsid w:val="006C2103"/>
    <w:rsid w:val="00897462"/>
    <w:rsid w:val="009E43EB"/>
    <w:rsid w:val="00DD438E"/>
    <w:rsid w:val="00E60E14"/>
    <w:rsid w:val="00F0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63428-291C-4076-932E-94EEE5F9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48A0"/>
    <w:rPr>
      <w:color w:val="0000FF"/>
      <w:u w:val="single"/>
    </w:rPr>
  </w:style>
  <w:style w:type="paragraph" w:styleId="Header">
    <w:name w:val="header"/>
    <w:basedOn w:val="Normal"/>
    <w:link w:val="HeaderChar"/>
    <w:uiPriority w:val="99"/>
    <w:unhideWhenUsed/>
    <w:rsid w:val="006C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103"/>
  </w:style>
  <w:style w:type="paragraph" w:styleId="Footer">
    <w:name w:val="footer"/>
    <w:basedOn w:val="Normal"/>
    <w:link w:val="FooterChar"/>
    <w:uiPriority w:val="99"/>
    <w:unhideWhenUsed/>
    <w:rsid w:val="006C2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13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ithsonianmag.com/history/maps-reveal-slavery-expanded-across-united-states-180951452/?preview" TargetMode="External"/><Relationship Id="rId13" Type="http://schemas.openxmlformats.org/officeDocument/2006/relationships/hyperlink" Target="https://www.smithsonianmag.com/smithsonian-institution/recalling-era-when-color-your-skin-meant-you-paid-vote-180958469/" TargetMode="External"/><Relationship Id="rId18" Type="http://schemas.openxmlformats.org/officeDocument/2006/relationships/hyperlink" Target="https://www.smithsonianmag.com/history/how-federal-government-intentionally-racially-segregated-american-cities-180963494/"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smithsonianmag.com/smithsonian-institution/few-artifacts-transatlantic-slave-trade-exist-iron-blocks-tell-gut-wrenching-story-180959803/" TargetMode="External"/><Relationship Id="rId12" Type="http://schemas.openxmlformats.org/officeDocument/2006/relationships/hyperlink" Target="https://www.smithsonianmag.com/smithsonian-institution/artifacts-show-sometimes-violent-nature-american-democracy-180963914/" TargetMode="External"/><Relationship Id="rId17" Type="http://schemas.openxmlformats.org/officeDocument/2006/relationships/hyperlink" Target="https://www.smithsonianmag.com/innovation/with-patents-or-without-black-inventors-reshaped-american-industry-180962201/" TargetMode="External"/><Relationship Id="rId2" Type="http://schemas.openxmlformats.org/officeDocument/2006/relationships/settings" Target="settings.xml"/><Relationship Id="rId16" Type="http://schemas.openxmlformats.org/officeDocument/2006/relationships/hyperlink" Target="https://www.smithsonianmag.com/history/why-african-american-soldiers-saw-world-war-ii-two-front-battle-18096461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mithsonianmag.com/history/massive-new-database-connect-billions-historic-records-tell-full-story-american-slavery-180973721/" TargetMode="External"/><Relationship Id="rId11" Type="http://schemas.openxmlformats.org/officeDocument/2006/relationships/hyperlink" Target="https://www.smithsonianmag.com/history/massive-new-database-connect-billions-historic-records-tell-full-story-american-slavery-180973721/" TargetMode="External"/><Relationship Id="rId5" Type="http://schemas.openxmlformats.org/officeDocument/2006/relationships/endnotes" Target="endnotes.xml"/><Relationship Id="rId15" Type="http://schemas.openxmlformats.org/officeDocument/2006/relationships/hyperlink" Target="https://www.smithsonianmag.com/smithsonian-institution/how-world-war-i-planted-seeds-civil-rights-movement-180974039/" TargetMode="External"/><Relationship Id="rId10" Type="http://schemas.openxmlformats.org/officeDocument/2006/relationships/hyperlink" Target="https://www.history.northwestern.edu/people/faculty/core-faculty/leslie-m-harris.html" TargetMode="External"/><Relationship Id="rId19" Type="http://schemas.openxmlformats.org/officeDocument/2006/relationships/hyperlink" Target="https://www.smithsonianmag.com/smithsonian-institution/youngest-little-rock-nine-speaks-about-holding-onto-history-180964732/" TargetMode="External"/><Relationship Id="rId4" Type="http://schemas.openxmlformats.org/officeDocument/2006/relationships/footnotes" Target="footnotes.xml"/><Relationship Id="rId9" Type="http://schemas.openxmlformats.org/officeDocument/2006/relationships/hyperlink" Target="https://www.smithsonianmag.com/history/slavery-trail-of-tears-180956968/" TargetMode="External"/><Relationship Id="rId14" Type="http://schemas.openxmlformats.org/officeDocument/2006/relationships/hyperlink" Target="https://nmaahc.si.edu/explore/exhibitions/double-vi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Yetunde Okeleye</dc:creator>
  <cp:keywords/>
  <dc:description/>
  <cp:lastModifiedBy>Yetunde Okeleye</cp:lastModifiedBy>
  <cp:revision>2</cp:revision>
  <dcterms:created xsi:type="dcterms:W3CDTF">2020-06-21T10:26:00Z</dcterms:created>
  <dcterms:modified xsi:type="dcterms:W3CDTF">2020-06-26T20:47:00Z</dcterms:modified>
</cp:coreProperties>
</file>