
<file path=[Content_Types].xml><?xml version="1.0" encoding="utf-8"?>
<Types xmlns="http://schemas.openxmlformats.org/package/2006/content-types">
  <Default Extension="jpeg" ContentType="image/jpeg"/>
  <Default Extension="png" ContentType="image/png"/>
  <Default Extension="gif" ContentType="image/gi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NAME: NWOKPOR NNAEMEKA COLLINS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MATRIC NO: 17/MHS01/211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DEPARTMENT: MEDICINE AND SURGERY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>ASSIGNMENT</w:t>
      </w:r>
    </w:p>
    <w:p>
      <w:pPr>
        <w:pStyle w:val="PO26"/>
        <w:numPr>
          <w:ilvl w:val="0"/>
          <w:numId w:val="1"/>
        </w:numPr>
        <w:jc w:val="left"/>
        <w:shd w:val="clear" w:color="000000" w:fill="FFFFFF"/>
        <w:spacing w:lineRule="auto" w:line="240" w:before="0" w:afterAutospacing="1" w:after="280"/>
        <w:contextualSpacing w:val="1"/>
        <w:ind w:left="720" w:right="0" w:hanging="36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Discuss the pathophysiological process involved in renal failure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Acute Renal Failure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The causes of acute renal failure can be divided into three main categories: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1. Acute renal failure resulting from decreased blood supply to the kidneys; this condition is often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referred to as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 xml:space="preserve">prerenal acute renal failure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to reflect the fact that the abnormality occurs as a result of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an abnormality originating outside the kidneys. For example,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prerenal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 acute renal failure can be a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consequence of heart failure with reduced cardiac output and low blood pressure or conditions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associated with diminished blood volume and low blood pressure, such as severe hemorrhage.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>2. 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 xml:space="preserve">Intrarenal acute renal failure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resulting from abnormalities within the kidney itself, including those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that affect the blood vessels, glomeruli, or tubules.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>3. 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 xml:space="preserve">Postrenal acute renal failure,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resulting from obstruction of the urinary collecting system anywhere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from the calyces to the outflow from the bladder. The most common causes of obstruction of the urinary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tract outside the kidney are kidney stones, caused by precipitation of calcium, urate, or cystine.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>Prerenal</w:t>
      </w: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 Acute Renal Failure Caused by Decreased Blood Flow to the Kidney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The kidneys normally receive an abundant blood supply of about 1100 ml/min, or about 20 to 25 percent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of the cardiac output. The main purpose of this high blood flow to the kidneys is to provide enough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plasma for the high rates of glomerular filtration needed for effective regulation of body fluid volumes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and solute concentrations. Therefore, decreased renal blood flow is usually accompanied by decreased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GFR and decreased urine output of water and solutes. Consequently, conditions that acutely diminish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blood flow to the kidneys usually cause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>oliguria,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which refers to diminished urine output below the level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of intake of water and solutes. This causes accumulation of water and solutes in the body fluids. If renal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blood flow is markedly reduced, total cessation of urine output can occur, a condition referred to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as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>anuria.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As long as renal blood flow does not fall below about 20 to 25 percent of normal, acute renal failure can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usually be reversed if the cause of the ischemia is corrected before damage to the renal cells has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occurred. Unlike some tissues, the kidney can endure a relatively large reduction in blood flow before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actual damage to the renal cells occurs. The reason for this is that as renal blood flow is reduced, the GFR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and the amount of sodium chloride filtered by the glomeruli (as well as the filtration rate of water and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other electrolytes) are reduced. This decreases the amount of sodium chloride that must be reabsorbed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by the tubules, which use most of the energy and oxygen consumed by the normal kidney. Therefore, as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renal blood flow and GFR fall, the requirement for renal oxygen consumption is also reduced. As the GFR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approaches zero, oxygen consumption of the kidney approaches the rate that is required to keep the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renal tubular cells alive even when they are not reabsorbing sodium. When blood flow is reduced below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this basal requirement, which is usually less than 20 to 25 percent of the normal renal blood flow, the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renal cells start to become hypoxic, and further decreases in renal blood flow, if prolonged, will cause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damage or even death of the renal cells, especially the tubular epithelial cells.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If the cause of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prerenal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 acute renal failure is not corrected and ischemia of the kidney persists longer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than a few hours, this type of renal failure can evolve into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intrarenal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 acute renal failure, as discussed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later. Acute reduction of renal blood flow is a common cause of acute renal failure in hospitalized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patients, especially those who have suffered severe injuries. Table 31-2 shows some of the common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causes of decreased renal blood flow and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prerenal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 acute renal failure.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Table 31-2 Some Causes of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Prerenal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 Acute Renal Failure</w:t>
      </w:r>
    </w:p>
    <w:tbl>
      <w:tblPr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9376" w:type="dxa"/>
        <w:tblLook w:val="0004A0" w:firstRow="1" w:lastRow="0" w:firstColumn="1" w:lastColumn="0" w:noHBand="0" w:noVBand="1"/>
        <w:tblLayout w:type="fixed"/>
      </w:tblPr>
      <w:tblGrid>
        <w:gridCol w:w="9376"/>
      </w:tblGrid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Intravascular Volume Depletion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Hemorrhage (trauma, surgery, postpartum, gastrointestinal)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Diarrhea or vomiting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>Burns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Cardiac Failure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Myocardial infarction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Valvular damage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Peripheral Vasodilation and Resultant Hypotension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Anaphylactic shock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>Anesthesia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Sepsis, severe infections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Primary renal hemodynamic abnormalities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Renal artery stenosis, embolism, or thrombosis of renal artery or vein</w:t>
            </w:r>
          </w:p>
        </w:tc>
      </w:tr>
    </w:tbl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>Intrarenal</w:t>
      </w: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 Acute Renal Failure Caused by Abnormalities Within the Kidney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Abnormalities that originate within the kidney and that abruptly diminish urine output fall into the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general category of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 xml:space="preserve">intrarenal acute renal failure.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This category of acute renal failure can be further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divided into (1) conditions that injure the glomerular capillaries or other small renal vessels, (2)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conditions that damage the renal tubular epithelium, and (3) conditions that cause damage to the renal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interstitium. This type of classification refers to the primary site of injury, but because the renal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vasculature and tubular system are functionally interdependent, damage to the renal blood vessels can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lead to tubular damage, and primary tubular damage can lead to damage of the renal blood vessels.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Some causes of intrarenal acute renal failure are listed in Table 31-3.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Table 31-3 Some Causes of Intrarenal Acute Renal Failure</w:t>
      </w:r>
    </w:p>
    <w:tbl>
      <w:tblPr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9376" w:type="dxa"/>
        <w:tblLook w:val="0004A0" w:firstRow="1" w:lastRow="0" w:firstColumn="1" w:lastColumn="0" w:noHBand="0" w:noVBand="1"/>
        <w:tblLayout w:type="fixed"/>
      </w:tblPr>
      <w:tblGrid>
        <w:gridCol w:w="9376"/>
      </w:tblGrid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Small Vessel and /or Glomerular Injury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Vasculitis (polyarteritis </w:t>
            </w: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>nodosa</w:t>
            </w: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>)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Cholesterol emboli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Malignant hypertension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Acute glomerulonephritis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Tubular Epithelial Injury (Tubular Necrosis)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Acute tubular necrosis due to ischemia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Acute tubular necrosis due to toxins (heavy metals, ethylene glycol, insecticides, poison mushrooms, </w:t>
            </w: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carbon tetrachloride)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Renal Interstitial Inury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Acute pyelonephritis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Acute allergic interstitial nephritis</w:t>
            </w:r>
          </w:p>
        </w:tc>
      </w:tr>
    </w:tbl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Acute Renal Failure Caused by Glomerulonephritis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Acute glomerulonephritis is a type of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>intrarenal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acute renal failure usually caused by an abnormal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immune reaction that damages the glomeruli. In about 95 percent of the patients with this disease,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damage to the glomeruli occurs 1 to 3 weeks after an infection elsewhere in the body, usually caused by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certain types of group A beta streptococci. The infection may have been a streptococcal sore throat,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streptococcal tonsillitis, or even streptococcal infection of the skin. It is not the infection itself that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damages the kidneys. Instead, over a few weeks, as antibodies develop against the streptococcal antigen,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the antibodies and antigen react with each other to form an insoluble immune complex that becomes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entrapped in the glomeruli, especially in the basement membrane portion of the glomeruli.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Once the immune complex has deposited in the glomeruli, many of the cells of the glomeruli begin to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proliferate, but mainly the mesangial cells that lie between the endothelium and the epithelium. In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addition, large numbers of white blood cells become entrapped in the glomeruli. Many of the glomeruli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become blocked by this inflammatory reaction, and those that are not blocked usually become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excessively permeable, allowing both protein and red blood cells to leak from the blood of the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glomerular capillaries into the glomerular filtrate. In severe cases, either total or almost complete renal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shutdown occurs.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The acute inflammation of the glomeruli usually subsides in about 2 weeks and, in most patients, the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kidneys return to almost normal function within the next few weeks to few months. Sometimes,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however, many of the glomeruli are destroyed beyond repair, and in a small percentage of patients,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progressive renal deterioration continues indefinitely, leading to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 xml:space="preserve">chronic renal failure,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as described in a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subsequent section of this chapter.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Tubular Necrosis as a Cause of Acute Renal Failure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Another cause of intrarenal acute renal failure is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 xml:space="preserve">tubular necrosis,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which means destruction of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epithelial cells in the tubules. Some common causes of tubular necrosis are (1) severe ischemia and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inadequate supply of oxygen and nutrients to the tubular epithelial cells and (2) poisons, toxins, or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medications that destroy the tubular epithelial cells.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Acute Tubular Necrosis Caused by Severe Renal Ischemia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Severe ischemia of the kidney can result from circulatory shock or any other disturbance that severely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impairs the blood supply to the kidney. If the ischemia is severe enough to seriously impair the delivery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of nutrients and oxygen to the renal tubular epithelial cells, and if the insult is prolonged, damage or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eventual destruction of the epithelial cells can occur. When this happens, tubular cells “slough off” and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plug many of the nephrons, so that there is no urine output from the blocked nephrons; the affected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nephrons often fail to excrete urine even when renal blood flow is restored to normal, as long as the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tubules remain plugged. The most common causes of ischemic damage to the tubular epithelium are the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prerenal causes of acute renal failure associated with circulatory shock, as discussed earlier in this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chapter.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Acute Tubular Necrosis Caused by Toxins or Medications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There is a long list of renal poisons and medications that can damage the tubular epithelium and cause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acute renal failure. Some of these are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 xml:space="preserve">carbon tetrachloride, heavy metals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(such as mercury and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lead),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 xml:space="preserve">ethylene glycol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(which is a major component in antifreeze),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various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>insecticides,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 some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>medications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(such as tetracyclines) used as antibiotics, and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>cis-platinum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,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which is used in treating certain cancers. Each of these substances has a specific toxic action on the renal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tubular epithelial cells, causing death of many of them. As a result, the epithelial cells slough away from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the basement membrane and plug the tubules. In some instances, the basement membrane also is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destroyed. If the basement membrane remains intact, new tubular epithelial cells can grow along the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surface of the membrane, so the tubule may repair itself within 10 to 20 days.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Postrenal Acute Renal Failure Caused by Abnormalities of the Lower Urinary Tract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Multiple abnormalities in the lower urinary tract can block or partially block urine flow and therefore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lead to acute renal failure even when the kidneys’ blood supply and other functions are initially normal.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If the urine output of only one kidney is diminished, no major change in body fluid composition will occur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because the contralateral kidney can increase its urine output sufficiently to maintain relatively normal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levels of extracellular electrolytes and solutes, as well as normal extracellular fluid volume. With this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type of renal failure, normal kidney function can be restored if the basic cause of the problem is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corrected within a few hours. But chronic obstruction of the urinary tract, lasting for several days or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weeks, can lead to irreversible kidney damage. Some of the causes of postrenal acute failure include (1)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bilateral obstruction of the ureters or renal pelvises caused by large stones or blood clots, (2) bladder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obstruction, and (3) obstruction of the urethra.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Physiologic Effects of Acute Renal Failure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 major physiologic effect of acute renal failure is retention in the blood and extracellular fluid of water,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waste products of metabolism, and electrolytes. This can lead to water and salt overload, which, in turn,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can lead to edema and hypertension. Excessive retention of potassium, however, is often a more serious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threat to patients with acute renal failure because increases in plasma potassium concentration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(hyperkalemia) above 8 mEq/L (only twice normal) can be fatal. Because the kidneys are also unable to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excrete sufficient hydrogen ions, patients with acute renal failure develop metabolic acidosis, which in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itself can be lethal or can aggravate the hyperkalemia.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In the most severe cases of acute renal failure, complete anuria occurs. The patient will die in 8 to 14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days unless kidney function is restored or unless an artificial kidney is used to rid the body of the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excessive retained water, electrolytes, and waste products of metabolism. Other effects of diminished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urine output, as well as treatment with an artificial kidney, are discussed in the next section in relation to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chronic renal failure.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Chronic Renal Failure: An Irreversible Decrease in the Number of Functional Nephrons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 xml:space="preserve">Chronic renal failure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results from progressive and irreversible loss of large numbers of functioning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nephrons. Serious clinical symptoms often do not occur until the number of functional nephrons falls to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at least 70 to 75 percent below normal. In fact, relatively normal blood concentrations of most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electrolytes and normal body fluid volumes can still be maintained until the number of functioning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nephrons decreases below 20 to 25 percent of normal.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u w:val="single"/>
          <w:rFonts w:ascii="Calibri" w:eastAsia="Times New Roman" w:hAnsi="Times New Roman" w:hint="default"/>
        </w:rPr>
        <w:t xml:space="preserve">Table 31-4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gives some of the most important causes of chronic renal failure. In general, chronic renal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failure, like acute renal failure, can occur because of disorders of the blood vessels, glomeruli, tubules,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renal interstitium, and lower urinary tract. Despite the wide variety of diseases that can lead to chronic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renal failure, the end result is essentially the same—a decrease in the number of functional nephrons.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Table 31-4 Some Causes of Chronic Renal Failure</w:t>
      </w:r>
    </w:p>
    <w:tbl>
      <w:tblPr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9376" w:type="dxa"/>
        <w:tblLook w:val="0004A0" w:firstRow="1" w:lastRow="0" w:firstColumn="1" w:lastColumn="0" w:noHBand="0" w:noVBand="1"/>
        <w:tblLayout w:type="fixed"/>
      </w:tblPr>
      <w:tblGrid>
        <w:gridCol w:w="9376"/>
      </w:tblGrid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Metablolic Disorders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Diabetes mellitus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vertAlign w:val="subscript"/>
                <w:position w:val="0"/>
                <w:sz w:val="22"/>
                <w:szCs w:val="22"/>
                <w:rFonts w:ascii="Calibri" w:eastAsia="Times New Roman" w:hAnsi="Times New Roman" w:hint="default"/>
              </w:rPr>
              <w:t>Obesity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>Amyloidosis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libri" w:eastAsia="Times New Roman" w:hAnsi="Times New Roman" w:hint="default"/>
              </w:rPr>
              <w:t>Hypertension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Renal Vascular Disorders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>Atherosclerosis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vertAlign w:val="subscript"/>
                <w:position w:val="0"/>
                <w:sz w:val="22"/>
                <w:szCs w:val="22"/>
                <w:rFonts w:ascii="Calibri" w:eastAsia="Times New Roman" w:hAnsi="Times New Roman" w:hint="default"/>
              </w:rPr>
              <w:t>Nephrosclerosis-hypertension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Immunologic Disorders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>Glomerulonephritis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Polyarteritis nodosa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Lupus erythernatosus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libri" w:eastAsia="Times New Roman" w:hAnsi="Times New Roman" w:hint="default"/>
              </w:rPr>
              <w:t>Infections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>Pyelonephritis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>Tuberculosis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Primary Tubular Disorders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Nephrotoxins (analgesics, heavy metals)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Urinary Tract Obstruction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Renal calculi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Hypertrophy of prostate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Urethral constriction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b w:val="1"/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Congenital Disorders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Polycystic disease</w:t>
            </w:r>
          </w:p>
        </w:tc>
      </w:tr>
      <w:tr>
        <w:trPr/>
        <w:tc>
          <w:tcPr>
            <w:tcW w:type="dxa" w:w="9376"/>
            <w:vAlign w:val="center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Autospacing="1" w:after="280"/>
              <w:ind w:right="0" w:firstLine="0"/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</w:pPr>
            <w:r>
              <w:rPr>
                <w:position w:val="0"/>
                <w:sz w:val="22"/>
                <w:szCs w:val="22"/>
                <w:rFonts w:ascii="Calibri" w:eastAsia="Times New Roman" w:hAnsi="Times New Roman" w:hint="default"/>
              </w:rPr>
              <w:t xml:space="preserve">Congenital absence of kidney tissue (renal hypoplasia)</w:t>
            </w:r>
          </w:p>
        </w:tc>
      </w:tr>
    </w:tbl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Vicious Cycle of Chronic Renal Failure Leading to End-Stage Renal Disease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In many cases, an initial insult to the kidney leads to progressive deterioration of kidney function and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further loss of nephrons to the point where the person must be placed on dialysis treatment or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transplanted with a functional kidney to survive. This condition is referred to as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 xml:space="preserve">end-stage renal 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 xml:space="preserve">disease (ESRD).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Studies in laboratory animals have shown that surgical removal of large portions of the kidney initially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causes adaptive changes in the remaining nephrons that lead to increased blood flow, increased GFR,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and increased urine output in the surviving nephrons. The exact mechanisms responsible for these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changes are not well understood but involve hypertrophy (growth of the various structures of the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surviving nephrons), as well as functional changes that decrease vascular resistance and tubular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reabsorption in the surviving nephrons. These adaptive changes permit a person to excrete normal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amounts of water and solutes even when kidney mass is reduced to 20 to 25 percent of normal. Over a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period of several years, however, these renal adaptive changes may lead to further injury of the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remaining nephrons, particularly to the glomeruli of these nephrons.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The cause of this additional injury is not known, but some investigators believe that it may be related in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part to increased pressure or stretch of the remaining glomeruli, which occurs as a result of functional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vasodilation or increased blood pressure; the chronic increase in pressure and stretch of the small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arterioles and glomeruli are believed to cause injury and sclerosis of these vessels (replacement of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normal tissue with connective tissue). These sclerotic lesions can eventually obliterate the glomerulus,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leading to further reduction in kidney function, further adaptive changes in the remaining nephrons, and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 slowly progressing vicious cycle that eventually terminates in ESRD (</w:t>
      </w:r>
      <w:r>
        <w:rPr>
          <w:position w:val="0"/>
          <w:sz w:val="22"/>
          <w:szCs w:val="22"/>
          <w:u w:val="single"/>
          <w:rFonts w:ascii="Calibri" w:eastAsia="Times New Roman" w:hAnsi="Times New Roman" w:hint="default"/>
        </w:rPr>
        <w:t xml:space="preserve">Figure 31-2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). The only proven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method of slowing down this progressive loss of kidney function is to lower arterial pressure and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glomerular hydrostatic pressure, especially by using drugs such as angiotensin-converting enzyme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inhibitors or angiotensin II receptor antagonists.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3241675" cy="3379470"/>
            <wp:effectExtent l="19050" t="0" r="0" b="0"/>
            <wp:docPr id="67" name="Рисунок 6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338010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Figure 31-2 Vicious circle that can occur with primary kidney disease. Loss of nephrons because of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disease may increase pressure and flow in the surviving glomerular capillaries, which in turn may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eventually injure these “normal” capillaries as well, thus causing progressive sclerosis and eventual loss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of these glomeruli.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0" w:afterAutospacing="1" w:after="28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</w:p>
    <w:p>
      <w:pPr>
        <w:pStyle w:val="PO26"/>
        <w:numPr>
          <w:ilvl w:val="0"/>
          <w:numId w:val="1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With the aid of suitable diagrams, discuss the types of dialysis you know</w:t>
      </w:r>
    </w:p>
    <w:p>
      <w:pPr>
        <w:pStyle w:val="PO152"/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In medicine, </w:t>
      </w: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>dialysis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 is the process of removing excess </w:t>
      </w:r>
      <w:hyperlink r:id="rId6" w:tooltip="Water">
        <w:r>
          <w:rPr>
            <w:rStyle w:val="PO151"/>
            <w:position w:val="0"/>
            <w:sz w:val="22"/>
            <w:szCs w:val="22"/>
            <w:rFonts w:ascii="Calibri" w:eastAsia="Times New Roman" w:hAnsi="Times New Roman" w:hint="default"/>
          </w:rPr>
          <w:t>water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, </w:t>
      </w:r>
      <w:hyperlink r:id="rId7" w:tooltip="Solutes">
        <w:r>
          <w:rPr>
            <w:rStyle w:val="PO151"/>
            <w:position w:val="0"/>
            <w:sz w:val="22"/>
            <w:szCs w:val="22"/>
            <w:rFonts w:ascii="Calibri" w:eastAsia="Times New Roman" w:hAnsi="Times New Roman" w:hint="default"/>
          </w:rPr>
          <w:t>solutes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, and </w:t>
      </w:r>
      <w:hyperlink r:id="rId8" w:tooltip="Toxins">
        <w:r>
          <w:rPr>
            <w:rStyle w:val="PO151"/>
            <w:position w:val="0"/>
            <w:sz w:val="22"/>
            <w:szCs w:val="22"/>
            <w:rFonts w:ascii="Calibri" w:eastAsia="Times New Roman" w:hAnsi="Times New Roman" w:hint="default"/>
          </w:rPr>
          <w:t>toxins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from the </w:t>
      </w:r>
      <w:hyperlink r:id="rId9" w:tooltip="Blood">
        <w:r>
          <w:rPr>
            <w:rStyle w:val="PO151"/>
            <w:position w:val="0"/>
            <w:sz w:val="22"/>
            <w:szCs w:val="22"/>
            <w:rFonts w:ascii="Calibri" w:eastAsia="Times New Roman" w:hAnsi="Times New Roman" w:hint="default"/>
          </w:rPr>
          <w:t>blood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in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people whose kidneys can no longer perform these functions naturally. This is referred to as </w:t>
      </w:r>
      <w:hyperlink r:id="rId10" w:tooltip="Renal replacement therapy">
        <w:r>
          <w:rPr>
            <w:rStyle w:val="PO151"/>
            <w:position w:val="0"/>
            <w:sz w:val="22"/>
            <w:szCs w:val="22"/>
            <w:rFonts w:ascii="Calibri" w:eastAsia="Times New Roman" w:hAnsi="Times New Roman" w:hint="default"/>
          </w:rPr>
          <w:t>renal </w:t>
        </w:r>
        <w:r>
          <w:rPr>
            <w:rStyle w:val="PO151"/>
            <w:position w:val="0"/>
            <w:sz w:val="22"/>
            <w:szCs w:val="22"/>
            <w:rFonts w:ascii="Calibri" w:eastAsia="Times New Roman" w:hAnsi="Times New Roman" w:hint="default"/>
          </w:rPr>
          <w:t>r</w:t>
        </w:r>
        <w:r>
          <w:rPr>
            <w:rStyle w:val="PO151"/>
            <w:position w:val="0"/>
            <w:sz w:val="22"/>
            <w:szCs w:val="22"/>
            <w:rFonts w:ascii="Calibri" w:eastAsia="Times New Roman" w:hAnsi="Times New Roman" w:hint="default"/>
          </w:rPr>
          <w:t>eplacement therapy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.</w:t>
      </w:r>
    </w:p>
    <w:p>
      <w:pPr>
        <w:pStyle w:val="PO152"/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Dialysis is used in patients with rapidly developing loss of kidney function, called </w:t>
      </w:r>
      <w:hyperlink r:id="rId11" w:tooltip="Acute kidney injury">
        <w:r>
          <w:rPr>
            <w:rStyle w:val="PO151"/>
            <w:position w:val="0"/>
            <w:sz w:val="22"/>
            <w:szCs w:val="22"/>
            <w:rFonts w:ascii="Calibri" w:eastAsia="Times New Roman" w:hAnsi="Times New Roman" w:hint="default"/>
          </w:rPr>
          <w:t>acute kidney injury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(previously called acute renal failure), or slowly worsening kidney function, called Stage 5 </w:t>
      </w:r>
      <w:hyperlink r:id="rId12" w:tooltip="Chronic kidney disease">
        <w:r>
          <w:rPr>
            <w:rStyle w:val="PO151"/>
            <w:position w:val="0"/>
            <w:sz w:val="22"/>
            <w:szCs w:val="22"/>
            <w:rFonts w:ascii="Calibri" w:eastAsia="Times New Roman" w:hAnsi="Times New Roman" w:hint="default"/>
          </w:rPr>
          <w:t>chronic kidney </w:t>
        </w:r>
        <w:r>
          <w:rPr>
            <w:rStyle w:val="PO151"/>
            <w:position w:val="0"/>
            <w:sz w:val="22"/>
            <w:szCs w:val="22"/>
            <w:rFonts w:ascii="Calibri" w:eastAsia="Times New Roman" w:hAnsi="Times New Roman" w:hint="default"/>
          </w:rPr>
          <w:t>d</w:t>
        </w:r>
        <w:r>
          <w:rPr>
            <w:rStyle w:val="PO151"/>
            <w:position w:val="0"/>
            <w:sz w:val="22"/>
            <w:szCs w:val="22"/>
            <w:rFonts w:ascii="Calibri" w:eastAsia="Times New Roman" w:hAnsi="Times New Roman" w:hint="default"/>
          </w:rPr>
          <w:t>isease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(previously called chronic kidney failure, end-stage renal disease, and end-stage kidney disease).</w:t>
      </w:r>
    </w:p>
    <w:p>
      <w:pPr>
        <w:pStyle w:val="PO152"/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Dialysis is used as a temporary measure in either acute kidney injury or in those awaiting </w:t>
      </w:r>
      <w:hyperlink r:id="rId13" w:tooltip="Kidney transplant">
        <w:r>
          <w:rPr>
            <w:rStyle w:val="PO151"/>
            <w:position w:val="0"/>
            <w:sz w:val="22"/>
            <w:szCs w:val="22"/>
            <w:rFonts w:ascii="Calibri" w:eastAsia="Times New Roman" w:hAnsi="Times New Roman" w:hint="default"/>
          </w:rPr>
          <w:t>kidney </w:t>
        </w:r>
        <w:r>
          <w:rPr>
            <w:rStyle w:val="PO151"/>
            <w:position w:val="0"/>
            <w:sz w:val="22"/>
            <w:szCs w:val="22"/>
            <w:rFonts w:ascii="Calibri" w:eastAsia="Times New Roman" w:hAnsi="Times New Roman" w:hint="default"/>
          </w:rPr>
          <w:t>t</w:t>
        </w:r>
        <w:r>
          <w:rPr>
            <w:rStyle w:val="PO151"/>
            <w:position w:val="0"/>
            <w:sz w:val="22"/>
            <w:szCs w:val="22"/>
            <w:rFonts w:ascii="Calibri" w:eastAsia="Times New Roman" w:hAnsi="Times New Roman" w:hint="default"/>
          </w:rPr>
          <w:t>ransplant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and as a permanent measure in those for whom a transplant is not indicated or not possible.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40" w:after="60"/>
        <w:pBdr>
          <w:bottom w:val="single" w:sz="6" w:space="0" w:color="A2A9B1"/>
        </w:pBdr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  <w:outlineLvl w:val="1"/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>Types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There are two types of dialysis: peritoneal and hemodialysis. There are three primary and two secondary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types of dialysis: </w:t>
      </w:r>
      <w:hyperlink r:id="rId14" w:tooltip="Hemodialysis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hemodialysis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 (primary), </w:t>
      </w:r>
      <w:hyperlink r:id="rId15" w:tooltip="Peritoneal dialysis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peritoneal dialysis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 (primary), </w:t>
      </w:r>
      <w:hyperlink r:id="rId16" w:tooltip="Hemofiltration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hemofiltration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 (primary), </w:t>
      </w:r>
      <w:hyperlink r:id="rId17" w:tooltip="Hemodiafiltration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hemodiafiltration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(secondary) and </w:t>
      </w:r>
      <w:hyperlink r:id="rId18" w:tooltip="Intestinal dialysis (page does not exist)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intestinal dialysis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 (secondary).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  <w:outlineLvl w:val="2"/>
      </w:pP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  <w:outlineLvl w:val="2"/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>Hemodialysis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4552950" cy="3926205"/>
            <wp:effectExtent l="0" t="0" r="0" b="0"/>
            <wp:docPr id="69" name="Picture 1" descr="Hemodialysis-en.sv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image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392684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>In </w:t>
      </w:r>
      <w:hyperlink r:id="rId21" w:tooltip="Hemodialysis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hemodialysis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, the patient's blood is pumped through the blood compartment of a dialyzer, exposing it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to a </w:t>
      </w:r>
      <w:hyperlink r:id="rId22" w:tooltip="Semipermeable membrane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partially permeable membrane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. The dialyzer is composed of thousands of tiny hollow </w:t>
      </w:r>
      <w:hyperlink r:id="rId23" w:tooltip="Synthetic fiber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synthetic </w:t>
        </w:r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f</w:t>
        </w:r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ibers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. The fiber wall acts as the semipermeable membrane. Blood flows through the fibers, dialysis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solution flows around the outside of the fibers, and water and wastes move between these two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solutions. The cleansed blood is then returned via the circuit back to the body. Ultrafiltration occurs by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increasing the hydrostatic pressure across the dialyzer membrane This usually is done by applying a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negative pressure to the dialysate compartment of the dialyzer. This pressure gradient causes water and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dissolved solutes to move from blood to dialysate and allows the removal of several litres of excess fluid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during a typical 4-hour treatment. In the United States, hemodialysis treatments are typically given in a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dialysis center three times per week (due in the United States to </w:t>
      </w:r>
      <w:hyperlink r:id="rId24" w:tooltip="Medicare (United States)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Medicare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reimbursement rules);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however, as of 2005 over 2,500 people in the United States are dialyzing at home more frequently for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various treatment lengths. Studies have demonstrated the clinical benefits of dialyzing 5 to 7 times a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week, for 6 to 8 hours. This type of hemodialysis is usually called </w:t>
      </w:r>
      <w:r>
        <w:rPr>
          <w:i w:val="1"/>
          <w:position w:val="0"/>
          <w:sz w:val="22"/>
          <w:szCs w:val="22"/>
          <w:rFonts w:ascii="Calibri" w:eastAsia="Times New Roman" w:hAnsi="Times New Roman" w:hint="default"/>
        </w:rPr>
        <w:t xml:space="preserve">nocturnal daily hemodialysis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, which a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study has shown it provides a significant improvement in both small and large </w:t>
      </w:r>
      <w:hyperlink r:id="rId25" w:tooltip="Molecular weight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molecular weight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clearance and decreases the need for </w:t>
      </w:r>
      <w:hyperlink r:id="rId26" w:tooltip="Phosphate binder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phosphate binders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. These frequent long treatments are often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done at home while sleeping, but home dialysis is a flexible modality and schedules can be changed day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to day, week to week. In general, studies show that both increased treatment length and frequency are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clinically beneficial.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Hemo-dialysis was one of the most common procedures performed in U.S. hospitals in 2011, occurring in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909,000 stays (a rate of 29 stays per 10,000 population).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  <w:outlineLvl w:val="2"/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Peritoneal dialysis</w:t>
      </w:r>
    </w:p>
    <w:p>
      <w:pPr>
        <w:numPr>
          <w:ilvl w:val="0"/>
          <w:numId w:val="0"/>
        </w:numPr>
        <w:jc w:val="center"/>
        <w:shd w:val="clear" w:color="000000" w:fill="F8F9FA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2095499" cy="2276475"/>
            <wp:effectExtent l="19050" t="0" r="0" b="0"/>
            <wp:docPr id="71" name="Picture 2" descr="https://upload.wikimedia.org/wikipedia/commons/thumb/4/4e/Peritoneal_dialysis.gif/220px-Peritoneal_dialysis.gif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3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227711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hd w:val="clear" w:color="000000" w:fill="F8F9FA"/>
        <w:spacing w:lineRule="atLeast" w:line="336" w:before="0" w:after="16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Schematic diagram of peritoneal dialysis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In peritoneal dialysis, a sterile solution containing glucose (called dialysate) is run through a tube into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the </w:t>
      </w:r>
      <w:hyperlink r:id="rId29" w:tooltip="Peritoneum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peritoneal cavity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, the </w:t>
      </w:r>
      <w:hyperlink r:id="rId30" w:tooltip="Abdomen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abdominal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body cavity around the </w:t>
      </w:r>
      <w:hyperlink r:id="rId31" w:tooltip="Intestine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intestine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, where the peritoneal membrane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acts as a partially permeable membrane.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This exchange is repeated 4–5 times per day; automatic systems can run more frequent exchange cycles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overnight. Peritoneal dialysis is less efficient than hemodialysis, but because it is carried out for a longer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period of time the net effect in terms of removal of waste products and of salt and water are similar to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hemodialysis. Peritoneal dialysis is carried out at home by the patient, often without help. This frees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patients from the routine of having to go to a dialysis clinic on a fixed schedule multiple times per week.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Peritoneal dialysis can be performed with little to no specialized equipment (other than bags of fresh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dialysate).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  <w:outlineLvl w:val="2"/>
      </w:pP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  <w:outlineLvl w:val="2"/>
      </w:pP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  <w:outlineLvl w:val="2"/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>Hemofiltration</w:t>
      </w:r>
    </w:p>
    <w:p>
      <w:pPr>
        <w:numPr>
          <w:ilvl w:val="0"/>
          <w:numId w:val="0"/>
        </w:numPr>
        <w:jc w:val="center"/>
        <w:shd w:val="clear" w:color="000000" w:fill="F8F9FA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2095499" cy="1476375"/>
            <wp:effectExtent l="0" t="0" r="0" b="0"/>
            <wp:docPr id="72" name="Picture 3" descr="https://upload.wikimedia.org/wikipedia/commons/thumb/d/d0/Continuous_Venon_Venous_Haemofiltration_with_pre_and_post_dilution_%28CVVH%29.svg/220px-Continuous_Venon_Venous_Haemofiltration_with_pre_and_post_dilution_%28CVVH%29.svg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_temp/image4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47701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hd w:val="clear" w:color="000000" w:fill="F8F9FA"/>
        <w:spacing w:lineRule="atLeast" w:line="336" w:before="0" w:after="16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Continuous veno-venous haemofiltration with pre- and post-dilution (CVVH)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Hemofiltration is a similar treatment to hemodialysis, but it makes use of a different principle. The blood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is pumped through a dialyzer or "hemofilter" as in dialysis, but no dialysate is used. A pressure gradient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is applied; as a result, water moves across the very permeable membrane rapidly, "dragging" along with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it many dissolved substances, including ones with large molecular weights, which are not cleared as well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by hemodialysis. Salts and water lost from the blood during this process are replaced with a "substitution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fluid" that is infused into the </w:t>
      </w:r>
      <w:hyperlink r:id="rId34" w:tooltip="Extracorporeal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extracorporeal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circuit during the treatment.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  <w:outlineLvl w:val="2"/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>Hemodiafiltration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35" w:tooltip="Hemodiafiltration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Hemodiafiltration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is a combination of hemodialysis and hemofiltration, thus used to purify the blood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from toxins when the kidney is not working normally and also used to treat </w:t>
      </w:r>
      <w:hyperlink r:id="rId36" w:tooltip="Acute kidney injury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acute kidney injury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 (AKI).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  <w:outlineLvl w:val="2"/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Intestinal dialysis</w:t>
      </w:r>
    </w:p>
    <w:p>
      <w:pPr>
        <w:numPr>
          <w:ilvl w:val="0"/>
          <w:numId w:val="0"/>
        </w:numPr>
        <w:jc w:val="center"/>
        <w:shd w:val="clear" w:color="000000" w:fill="F8F9FA"/>
        <w:spacing w:lineRule="auto" w:line="240" w:before="0" w:after="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sz w:val="20"/>
        </w:rPr>
        <w:drawing>
          <wp:inline distT="0" distB="0" distL="0" distR="0">
            <wp:extent cx="2095499" cy="1476375"/>
            <wp:effectExtent l="0" t="0" r="0" b="0"/>
            <wp:docPr id="74" name="Picture 4" descr="https://upload.wikimedia.org/wikipedia/commons/thumb/e/e7/Continuous_Venon_Venous_HaemoDIALAfiltration_%28CVVHDF%29.svg/220px-Continuous_Venon_Venous_HaemoDIALAfiltration_%28CVVHDF%29.svg.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_temp/image5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47701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hd w:val="clear" w:color="000000" w:fill="F8F9FA"/>
        <w:spacing w:lineRule="atLeast" w:line="336" w:before="0" w:after="16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Continuous veno-venous haemodiafiltration (CVVHDF)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In intestinal dialysis, the diet is supplemented with soluble fibres such as </w:t>
      </w:r>
      <w:hyperlink r:id="rId39" w:tooltip="Gum arabic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acacia fibre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, which is digested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by bacteria in the colon. This bacterial growth increases the amount of nitrogen that is eliminated in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fecal waste. An alternative approach utilizes the ingestion of 1 to 1.5 liters of non-absorbable solutions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of </w:t>
      </w:r>
      <w:hyperlink r:id="rId40" w:tooltip="Polyethylene glycol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polyethylene glycol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 or </w:t>
      </w:r>
      <w:hyperlink r:id="rId41" w:tooltip="Mannitol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mannitol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every fourth hour.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40" w:after="60"/>
        <w:pBdr>
          <w:bottom w:val="single" w:sz="6" w:space="0" w:color="A2A9B1"/>
        </w:pBdr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  <w:outlineLvl w:val="1"/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>Indications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The decision to initiate dialysis or hemofiltration in patients with </w:t>
      </w:r>
      <w:hyperlink r:id="rId42" w:tooltip="Kidney failure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kidney failure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depends on several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factors. These can be divided into acute or chronic indications.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Depression and kidney failure symptoms can be similar to each other. It's important that there's an open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communication in a dialysis team and the patient. Open communication will allow to give a better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quality of life. Knowing the patients’ needs will allow the dialysis team to provide more options like: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changes in dialysis type like home dialysis for patients to be able to be more active or changes in eating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habits to avoid unnecessary waste products.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  <w:outlineLvl w:val="2"/>
      </w:pP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  <w:outlineLvl w:val="2"/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Acute indications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Indications for dialysis in a patient with </w:t>
      </w:r>
      <w:hyperlink r:id="rId43" w:tooltip="Acute kidney injury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acute kidney injury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are summarized with the vowel mnemonic of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"AEIOU":</w:t>
      </w:r>
    </w:p>
    <w:p>
      <w:pPr>
        <w:numPr>
          <w:ilvl w:val="0"/>
          <w:numId w:val="2"/>
        </w:numPr>
        <w:jc w:val="left"/>
        <w:shd w:val="clear" w:color="000000" w:fill="FFFFFF"/>
        <w:spacing w:lineRule="auto" w:line="240" w:before="280" w:beforeAutospacing="1" w:after="24"/>
        <w:ind w:left="768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44" w:tooltip="Acidemia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Acidemia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 from </w:t>
      </w:r>
      <w:hyperlink r:id="rId45" w:tooltip="Metabolic acidosis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metabolic acidosis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in situations in which correction with </w:t>
      </w:r>
      <w:hyperlink r:id="rId46" w:tooltip="Sodium bicarbonate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sodium bicarbonate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is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impractical or may result in fluid overload.</w:t>
      </w:r>
    </w:p>
    <w:p>
      <w:pPr>
        <w:numPr>
          <w:ilvl w:val="0"/>
          <w:numId w:val="2"/>
        </w:numPr>
        <w:jc w:val="left"/>
        <w:shd w:val="clear" w:color="000000" w:fill="FFFFFF"/>
        <w:spacing w:lineRule="auto" w:line="240" w:before="280" w:beforeAutospacing="1" w:after="24"/>
        <w:ind w:left="768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47" w:tooltip="Electrolyte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Electrolyte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abnormality, such as severe </w:t>
      </w:r>
      <w:hyperlink r:id="rId48" w:tooltip="Hyperkalemia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hyperkalemia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, especially when combined with AKI.</w:t>
      </w:r>
    </w:p>
    <w:p>
      <w:pPr>
        <w:numPr>
          <w:ilvl w:val="0"/>
          <w:numId w:val="2"/>
        </w:numPr>
        <w:jc w:val="left"/>
        <w:shd w:val="clear" w:color="000000" w:fill="FFFFFF"/>
        <w:spacing w:lineRule="auto" w:line="240" w:before="280" w:beforeAutospacing="1" w:after="24"/>
        <w:ind w:left="768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49" w:tooltip="Substance intoxication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Intoxication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, that is, acute poisoning with a dialyzable substance. These substances can be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represented by the mnemonic SLIME: </w:t>
      </w:r>
      <w:hyperlink r:id="rId50" w:tooltip="Salicylic acid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salicylic acid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, </w:t>
      </w:r>
      <w:hyperlink r:id="rId51" w:tooltip="Lithium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lithium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, </w:t>
      </w:r>
      <w:hyperlink r:id="rId52" w:tooltip="Isopropanol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isopropanol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, </w:t>
      </w:r>
      <w:hyperlink r:id="rId53" w:tooltip="Magnesium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magnesium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-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containing </w:t>
      </w:r>
      <w:hyperlink r:id="rId54" w:tooltip="Laxative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laxatives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 and </w:t>
      </w:r>
      <w:hyperlink r:id="rId55" w:tooltip="Ethylene glycol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ethylene glycol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.</w:t>
      </w:r>
    </w:p>
    <w:p>
      <w:pPr>
        <w:numPr>
          <w:ilvl w:val="0"/>
          <w:numId w:val="2"/>
        </w:numPr>
        <w:jc w:val="left"/>
        <w:shd w:val="clear" w:color="000000" w:fill="FFFFFF"/>
        <w:spacing w:lineRule="auto" w:line="240" w:before="280" w:beforeAutospacing="1" w:after="24"/>
        <w:ind w:left="768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Overload of fluid not expected to respond to treatment with diuretics</w:t>
      </w:r>
    </w:p>
    <w:p>
      <w:pPr>
        <w:numPr>
          <w:ilvl w:val="0"/>
          <w:numId w:val="2"/>
        </w:numPr>
        <w:jc w:val="left"/>
        <w:shd w:val="clear" w:color="000000" w:fill="FFFFFF"/>
        <w:spacing w:lineRule="auto" w:line="240" w:before="280" w:beforeAutospacing="1" w:after="24"/>
        <w:ind w:left="768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56" w:tooltip="Uremia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Uremia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complications, such as </w:t>
      </w:r>
      <w:hyperlink r:id="rId57" w:tooltip="Pericarditis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pericarditis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, </w:t>
      </w:r>
      <w:hyperlink r:id="rId58" w:tooltip="Encephalopathy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encephalopathy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, or </w:t>
      </w:r>
      <w:hyperlink r:id="rId59" w:tooltip="Gastrointestinal bleeding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gastrointestinal bleeding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  <w:outlineLvl w:val="2"/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 xml:space="preserve">Chronic indications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Chronic dialysis may be indicated when a patient has symptomatic kidney failure and low </w:t>
      </w:r>
      <w:hyperlink r:id="rId60" w:tooltip="Glomerular filtration rate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glomerular </w:t>
        </w:r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f</w:t>
        </w:r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iltration rate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(GFR &lt; 15 mL/min). Between 1996 and 2008, there was a trend to initiate dialysis at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progressively higher estimated GFR, eGFR. A review of the evidence shows no benefit or potential harm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with early dialysis initiation, which has been defined by start of dialysis at an estimated GFR of greater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than 10ml/min/1.73</w:t>
      </w:r>
      <w:r>
        <w:rPr>
          <w:vertAlign w:val="superscript"/>
          <w:position w:val="0"/>
          <w:sz w:val="22"/>
          <w:szCs w:val="22"/>
          <w:rFonts w:ascii="Calibri" w:eastAsia="Times New Roman" w:hAnsi="Times New Roman" w:hint="default"/>
        </w:rPr>
        <w:t>2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. Observational data from large </w:t>
      </w:r>
      <w:hyperlink r:id="rId61" w:tooltip="Disease registry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registries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of dialysis patients suggests that early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start of dialysis may be harmful. The most recent published guidelines from Canada, for when to initiate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dialysis, recommend an intent to defer dialysis until a patient has definite kidney failure symptoms,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which may occur at an estimated GFR of 5-9ml/min/1.73</w:t>
      </w:r>
      <w:r>
        <w:rPr>
          <w:vertAlign w:val="superscript"/>
          <w:position w:val="0"/>
          <w:sz w:val="22"/>
          <w:szCs w:val="22"/>
          <w:rFonts w:ascii="Calibri" w:eastAsia="Times New Roman" w:hAnsi="Times New Roman" w:hint="default"/>
        </w:rPr>
        <w:t>2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.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40" w:after="60"/>
        <w:pBdr>
          <w:bottom w:val="single" w:sz="6" w:space="0" w:color="A2A9B1"/>
        </w:pBdr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  <w:outlineLvl w:val="1"/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Dialyzable substances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  <w:outlineLvl w:val="2"/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>Characteristics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62" w:tooltip="wiktionary:dialyzable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Dialyzable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substances—substances removable with dialysis—have these properties:</w:t>
      </w:r>
    </w:p>
    <w:p>
      <w:pPr>
        <w:numPr>
          <w:ilvl w:val="0"/>
          <w:numId w:val="3"/>
        </w:numPr>
        <w:jc w:val="left"/>
        <w:shd w:val="clear" w:color="000000" w:fill="FFFFFF"/>
        <w:spacing w:lineRule="auto" w:line="240" w:before="280" w:beforeAutospacing="1" w:after="24"/>
        <w:ind w:left="768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>Low </w:t>
      </w:r>
      <w:hyperlink r:id="rId63" w:tooltip="Molecular mass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molecular mass</w:t>
        </w:r>
      </w:hyperlink>
    </w:p>
    <w:p>
      <w:pPr>
        <w:numPr>
          <w:ilvl w:val="0"/>
          <w:numId w:val="3"/>
        </w:numPr>
        <w:jc w:val="left"/>
        <w:shd w:val="clear" w:color="000000" w:fill="FFFFFF"/>
        <w:spacing w:lineRule="auto" w:line="240" w:before="280" w:beforeAutospacing="1" w:after="24"/>
        <w:ind w:left="768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High water solubility</w:t>
      </w:r>
    </w:p>
    <w:p>
      <w:pPr>
        <w:numPr>
          <w:ilvl w:val="0"/>
          <w:numId w:val="3"/>
        </w:numPr>
        <w:jc w:val="left"/>
        <w:shd w:val="clear" w:color="000000" w:fill="FFFFFF"/>
        <w:spacing w:lineRule="auto" w:line="240" w:before="280" w:beforeAutospacing="1" w:after="24"/>
        <w:ind w:left="768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Low protein binding capacity</w:t>
      </w:r>
    </w:p>
    <w:p>
      <w:pPr>
        <w:numPr>
          <w:ilvl w:val="0"/>
          <w:numId w:val="3"/>
        </w:numPr>
        <w:jc w:val="left"/>
        <w:shd w:val="clear" w:color="000000" w:fill="FFFFFF"/>
        <w:spacing w:lineRule="auto" w:line="240" w:before="280" w:beforeAutospacing="1" w:after="24"/>
        <w:ind w:left="768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Prolonged elimination (long </w:t>
      </w:r>
      <w:hyperlink r:id="rId64" w:tooltip="Half-life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half-life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)</w:t>
      </w:r>
    </w:p>
    <w:p>
      <w:pPr>
        <w:numPr>
          <w:ilvl w:val="0"/>
          <w:numId w:val="3"/>
        </w:numPr>
        <w:jc w:val="left"/>
        <w:shd w:val="clear" w:color="000000" w:fill="FFFFFF"/>
        <w:spacing w:lineRule="auto" w:line="240" w:before="280" w:beforeAutospacing="1" w:after="24"/>
        <w:ind w:left="768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Small volume of distribution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72" w:after="0"/>
        <w:ind w:right="0" w:firstLine="0"/>
        <w:rPr>
          <w:b w:val="1"/>
          <w:position w:val="0"/>
          <w:sz w:val="22"/>
          <w:szCs w:val="22"/>
          <w:rFonts w:ascii="Calibri" w:eastAsia="Times New Roman" w:hAnsi="Times New Roman" w:hint="default"/>
        </w:rPr>
        <w:outlineLvl w:val="2"/>
      </w:pPr>
      <w:r>
        <w:rPr>
          <w:b w:val="1"/>
          <w:position w:val="0"/>
          <w:sz w:val="22"/>
          <w:szCs w:val="22"/>
          <w:rFonts w:ascii="Calibri" w:eastAsia="Times New Roman" w:hAnsi="Times New Roman" w:hint="default"/>
        </w:rPr>
        <w:t>Substances</w:t>
      </w:r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65" w:tooltip="Ethylene glycol poisoning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Ethylene glycol</w:t>
        </w:r>
      </w:hyperlink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66" w:tooltip="Procainamide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Procainamide</w:t>
        </w:r>
      </w:hyperlink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67" w:tooltip="Methanol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Methanol</w:t>
        </w:r>
      </w:hyperlink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68" w:tooltip="Isopropyl alcohol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Isopropyl alcohol</w:t>
        </w:r>
      </w:hyperlink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69" w:tooltip="Barbiturates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Barbiturates</w:t>
        </w:r>
      </w:hyperlink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70" w:tooltip="Lithium (medication)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Lithium</w:t>
        </w:r>
      </w:hyperlink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71" w:tooltip="Potassium bromide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Bromide</w:t>
        </w:r>
      </w:hyperlink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72" w:tooltip="Sotalol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Sotalol</w:t>
        </w:r>
      </w:hyperlink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73" w:tooltip="Chloral hydrate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Chloral hydrate</w:t>
        </w:r>
      </w:hyperlink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74" w:tooltip="Ethanol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Ethanol</w:t>
        </w:r>
      </w:hyperlink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75" w:tooltip="Acetone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Acetone</w:t>
        </w:r>
      </w:hyperlink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76" w:tooltip="Atenolol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Atenolol</w:t>
        </w:r>
      </w:hyperlink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77" w:tooltip="Theophylline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Theophylline</w:t>
        </w:r>
      </w:hyperlink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78" w:tooltip="Salicylic acid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Salicylates</w:t>
        </w:r>
      </w:hyperlink>
    </w:p>
    <w:p>
      <w:pPr>
        <w:numPr>
          <w:ilvl w:val="0"/>
          <w:numId w:val="4"/>
        </w:numPr>
        <w:jc w:val="left"/>
        <w:shd w:val="clear" w:color="000000" w:fill="FFFFFF"/>
        <w:spacing w:lineRule="auto" w:line="240" w:before="280" w:beforeAutospacing="1" w:after="24"/>
        <w:ind w:left="384" w:right="0" w:hanging="360"/>
        <w:tabs>
          <w:tab w:val="left" w:pos="720"/>
        </w:tabs>
        <w:rPr>
          <w:position w:val="0"/>
          <w:sz w:val="22"/>
          <w:szCs w:val="22"/>
          <w:rFonts w:ascii="Calibri" w:eastAsia="Times New Roman" w:hAnsi="Times New Roman" w:hint="default"/>
        </w:rPr>
      </w:pPr>
      <w:hyperlink r:id="rId79" w:tooltip="Baclofen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Baclofen</w:t>
        </w:r>
      </w:hyperlink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240" w:after="60"/>
        <w:pBdr>
          <w:bottom w:val="single" w:sz="6" w:space="0" w:color="A2A9B1"/>
        </w:pBdr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  <w:outlineLvl w:val="1"/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Pediatric dialysis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Over the past 20 years, children have benefited from major improvements in both technology and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clinical management of dialysis. </w:t>
      </w:r>
      <w:hyperlink r:id="rId80" w:tooltip="Morbidity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Morbidity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during dialysis sessions has decreased with seizures being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exceptional and hypotensive episodes rare. Pain and discomfort have been reduced with the use of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chronic internal jugular venous catheters and anesthetic creams for fistula puncture. Non-invasive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technologies to assess patient target dry weight and access flow can significantly reduce patient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morbidity and health care costs. </w:t>
      </w:r>
      <w:hyperlink r:id="rId81" w:tooltip="Mortality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Mortality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in paediatric and young adult patients on chronic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hemodialysis is associated with multifactorial markers of nutrition, </w:t>
      </w:r>
      <w:hyperlink r:id="rId82" w:tooltip="Inflammation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inflammation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>, </w:t>
      </w:r>
      <w:hyperlink r:id="rId83" w:tooltip="Anaemia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anaemia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and dialysis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dose, which highlights the importance of multimodal intervention strategies besides adequate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hemodialysis treatment as determined by Kt/V alone. 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>Biocompatible </w:t>
      </w:r>
      <w:hyperlink r:id="rId84" w:tooltip="Synthetic membranes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synthetic membranes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, specific small size material dialyzers and new low extra-corporeal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volume tubing have been developed for young infants. Arterial and venous tubing length is made of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minimum length and diameter, a &lt;80ml to &lt;110ml volume tubing is designed for pediatric patients and a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&gt;130 to &lt;224ml tubing are for adult patients, regardless of blood pump segment size, which can be of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6.4mm for normal dialysis or 8.0mm for high flux dialysis in all patients. All dialysis machine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manufacturers design their machine to do the pediatric dialysis. In pediatric patients, the pump speed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should be kept at low side, according to patient blood output capacity, and the clotting with heparin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dose should be carefully monitored. The high flux dialysis (see below) is not recommended for pediatric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>patients.</w:t>
      </w:r>
    </w:p>
    <w:p>
      <w:pPr>
        <w:numPr>
          <w:ilvl w:val="0"/>
          <w:numId w:val="0"/>
        </w:numPr>
        <w:jc w:val="left"/>
        <w:shd w:val="clear" w:color="000000" w:fill="FFFFFF"/>
        <w:spacing w:lineRule="auto" w:line="240" w:before="120" w:after="120"/>
        <w:ind w:right="0" w:firstLine="0"/>
        <w:rPr>
          <w:position w:val="0"/>
          <w:sz w:val="22"/>
          <w:szCs w:val="22"/>
          <w:rFonts w:ascii="Calibri" w:eastAsia="Times New Roman" w:hAnsi="Times New Roman" w:hint="default"/>
        </w:rPr>
      </w:pP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In children, </w:t>
      </w:r>
      <w:hyperlink r:id="rId85" w:tooltip="Hemodialysis">
        <w:r>
          <w:rPr>
            <w:position w:val="0"/>
            <w:sz w:val="22"/>
            <w:szCs w:val="22"/>
            <w:rFonts w:ascii="Calibri" w:eastAsia="Times New Roman" w:hAnsi="Times New Roman" w:hint="default"/>
          </w:rPr>
          <w:t>hemodialysis</w:t>
        </w:r>
      </w:hyperlink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 must be individualized and viewed as an "integrated therapy" that considers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their long-term exposure to chronic renal failure treatment. Dialysis is seen only as a temporary measure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for children compared with renal transplantation because this enables the best chance of rehabilitation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in terms of educational and psychosocial functioning. Long-term chronic dialysis, however, the highest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standards should be applied to these children to preserve their future "cardiovascular life"—which might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include more dialysis time and on-line hemodiafiltration online hdf with synthetic high flux membranes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with the surface area of 0.2sq.m to 0.8sq.m and blood tubing lines with the low volume yet large blood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pump segment of 6.4/8.0mm, if we are able to improve on the rather restricted concept of small-solute </w:t>
      </w:r>
      <w:r>
        <w:rPr>
          <w:position w:val="0"/>
          <w:sz w:val="22"/>
          <w:szCs w:val="22"/>
          <w:rFonts w:ascii="Calibri" w:eastAsia="Times New Roman" w:hAnsi="Times New Roman" w:hint="default"/>
        </w:rPr>
        <w:t xml:space="preserve">urea dialysis clearance.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7C07F028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multilevel"/>
    <w:nsid w:val="000001"/>
    <w:tmpl w:val="56511AB5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abstractNum w:abstractNumId="2">
    <w:multiLevelType w:val="multilevel"/>
    <w:nsid w:val="000002"/>
    <w:tmpl w:val="3AE281CF"/>
    <w:lvl w:ilvl="0">
      <w:lvlJc w:val="left"/>
      <w:numFmt w:val="decimal"/>
      <w:start w:val="1"/>
      <w:suff w:val="tab"/>
      <w:pPr>
        <w:ind w:left="720" w:hanging="360"/>
        <w:tabs>
          <w:tab w:val="left" w:pos="720"/>
        </w:tabs>
      </w:pPr>
      <w:lvlText w:val="%1."/>
    </w:lvl>
    <w:lvl w:ilvl="1">
      <w:lvlJc w:val="left"/>
      <w:numFmt w:val="decimal"/>
      <w:start w:val="1"/>
      <w:suff w:val="tab"/>
      <w:pPr>
        <w:ind w:left="1440" w:hanging="360"/>
        <w:tabs>
          <w:tab w:val="left" w:pos="1440"/>
        </w:tabs>
      </w:pPr>
      <w:lvlText w:val="%2.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abstractNum w:abstractNumId="3">
    <w:multiLevelType w:val="hybridMultilevel"/>
    <w:nsid w:val="000003"/>
    <w:tmpl w:val="2C2F0EE7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151" w:type="character">
    <w:name w:val="Hyperlink"/>
    <w:basedOn w:val="PO2"/>
    <w:uiPriority w:val="151"/>
    <w:semiHidden/>
    <w:unhideWhenUsed/>
    <w:rPr>
      <w:color w:val="0000FF"/>
      <w:shd w:val="clear"/>
      <w:sz w:val="20"/>
      <w:szCs w:val="20"/>
      <w:u w:val="single"/>
      <w:w w:val="100"/>
    </w:rPr>
  </w:style>
  <w:style w:styleId="PO152" w:type="paragraph">
    <w:name w:val="Normal (Web)"/>
    <w:basedOn w:val="PO1"/>
    <w:uiPriority w:val="152"/>
    <w:semiHidden/>
    <w:unhideWhenUsed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styleId="PO153" w:type="paragraph">
    <w:name w:val="Balloon Text"/>
    <w:basedOn w:val="PO1"/>
    <w:link w:val="PO154"/>
    <w:uiPriority w:val="153"/>
    <w:semiHidden/>
    <w:unhideWhenUsed/>
    <w:pPr>
      <w:autoSpaceDE w:val="1"/>
      <w:autoSpaceDN w:val="1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54" w:type="character">
    <w:name w:val="Balloon Text Char"/>
    <w:basedOn w:val="PO2"/>
    <w:link w:val="PO153"/>
    <w:uiPriority w:val="154"/>
    <w:semiHidden/>
    <w:rPr>
      <w:rFonts w:ascii="Tahoma" w:eastAsia="Tahoma" w:hAnsi="Tahoma"/>
      <w:shd w:val="clear"/>
      <w:sz w:val="16"/>
      <w:szCs w:val="16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hyperlink" Target="https://en.wikipedia.org/wiki/Water" TargetMode="External"></Relationship><Relationship Id="rId7" Type="http://schemas.openxmlformats.org/officeDocument/2006/relationships/hyperlink" Target="https://en.wikipedia.org/wiki/Solutes" TargetMode="External"></Relationship><Relationship Id="rId8" Type="http://schemas.openxmlformats.org/officeDocument/2006/relationships/hyperlink" Target="https://en.wikipedia.org/wiki/Toxins" TargetMode="External"></Relationship><Relationship Id="rId9" Type="http://schemas.openxmlformats.org/officeDocument/2006/relationships/hyperlink" Target="https://en.wikipedia.org/wiki/Blood" TargetMode="External"></Relationship><Relationship Id="rId10" Type="http://schemas.openxmlformats.org/officeDocument/2006/relationships/hyperlink" Target="https://en.wikipedia.org/wiki/Renal_replacement_therapy" TargetMode="External"></Relationship><Relationship Id="rId11" Type="http://schemas.openxmlformats.org/officeDocument/2006/relationships/hyperlink" Target="https://en.wikipedia.org/wiki/Acute_kidney_injury" TargetMode="External"></Relationship><Relationship Id="rId12" Type="http://schemas.openxmlformats.org/officeDocument/2006/relationships/hyperlink" Target="https://en.wikipedia.org/wiki/Chronic_kidney_disease" TargetMode="External"></Relationship><Relationship Id="rId13" Type="http://schemas.openxmlformats.org/officeDocument/2006/relationships/hyperlink" Target="https://en.wikipedia.org/wiki/Kidney_transplant" TargetMode="External"></Relationship><Relationship Id="rId14" Type="http://schemas.openxmlformats.org/officeDocument/2006/relationships/hyperlink" Target="https://en.wikipedia.org/wiki/Hemodialysis" TargetMode="External"></Relationship><Relationship Id="rId15" Type="http://schemas.openxmlformats.org/officeDocument/2006/relationships/hyperlink" Target="https://en.wikipedia.org/wiki/Peritoneal_dialysis" TargetMode="External"></Relationship><Relationship Id="rId16" Type="http://schemas.openxmlformats.org/officeDocument/2006/relationships/hyperlink" Target="https://en.wikipedia.org/wiki/Hemofiltration" TargetMode="External"></Relationship><Relationship Id="rId17" Type="http://schemas.openxmlformats.org/officeDocument/2006/relationships/hyperlink" Target="https://en.wikipedia.org/wiki/Hemodiafiltration" TargetMode="External"></Relationship><Relationship Id="rId18" Type="http://schemas.openxmlformats.org/officeDocument/2006/relationships/hyperlink" Target="https://en.wikipedia.org/w/index.php?title=Intestinal_dialysis&amp;action=edit&amp;redlink=1" TargetMode="External"></Relationship><Relationship Id="rId19" Type="http://schemas.openxmlformats.org/officeDocument/2006/relationships/image" Target="media/image2.png"></Relationship><Relationship Id="rId20" Type="http://schemas.openxmlformats.org/officeDocument/2006/relationships/hyperlink" Target="https://en.wikipedia.org/wiki/File:Hemodialysis-en.svg" TargetMode="External"></Relationship><Relationship Id="rId21" Type="http://schemas.openxmlformats.org/officeDocument/2006/relationships/hyperlink" Target="https://en.wikipedia.org/wiki/Hemodialysis" TargetMode="External"></Relationship><Relationship Id="rId22" Type="http://schemas.openxmlformats.org/officeDocument/2006/relationships/hyperlink" Target="https://en.wikipedia.org/wiki/Semipermeable_membrane" TargetMode="External"></Relationship><Relationship Id="rId23" Type="http://schemas.openxmlformats.org/officeDocument/2006/relationships/hyperlink" Target="https://en.wikipedia.org/wiki/Synthetic_fiber" TargetMode="External"></Relationship><Relationship Id="rId24" Type="http://schemas.openxmlformats.org/officeDocument/2006/relationships/hyperlink" Target="https://en.wikipedia.org/wiki/Medicare_(United_States)" TargetMode="External"></Relationship><Relationship Id="rId25" Type="http://schemas.openxmlformats.org/officeDocument/2006/relationships/hyperlink" Target="https://en.wikipedia.org/wiki/Molecular_weight" TargetMode="External"></Relationship><Relationship Id="rId26" Type="http://schemas.openxmlformats.org/officeDocument/2006/relationships/hyperlink" Target="https://en.wikipedia.org/wiki/Phosphate_binder" TargetMode="External"></Relationship><Relationship Id="rId27" Type="http://schemas.openxmlformats.org/officeDocument/2006/relationships/image" Target="media/image3.gif"></Relationship><Relationship Id="rId28" Type="http://schemas.openxmlformats.org/officeDocument/2006/relationships/hyperlink" Target="https://en.wikipedia.org/wiki/File:Peritoneal_dialysis.gif" TargetMode="External"></Relationship><Relationship Id="rId29" Type="http://schemas.openxmlformats.org/officeDocument/2006/relationships/hyperlink" Target="https://en.wikipedia.org/wiki/Peritoneum" TargetMode="External"></Relationship><Relationship Id="rId30" Type="http://schemas.openxmlformats.org/officeDocument/2006/relationships/hyperlink" Target="https://en.wikipedia.org/wiki/Abdomen" TargetMode="External"></Relationship><Relationship Id="rId31" Type="http://schemas.openxmlformats.org/officeDocument/2006/relationships/hyperlink" Target="https://en.wikipedia.org/wiki/Intestine" TargetMode="External"></Relationship><Relationship Id="rId32" Type="http://schemas.openxmlformats.org/officeDocument/2006/relationships/image" Target="media/image4.png"></Relationship><Relationship Id="rId33" Type="http://schemas.openxmlformats.org/officeDocument/2006/relationships/hyperlink" Target="https://en.wikipedia.org/wiki/File:Continuous_Venon_Venous_Haemofiltration_with_pre_and_post_dilution_(CVVH).svg" TargetMode="External"></Relationship><Relationship Id="rId34" Type="http://schemas.openxmlformats.org/officeDocument/2006/relationships/hyperlink" Target="https://en.wikipedia.org/wiki/Extracorporeal" TargetMode="External"></Relationship><Relationship Id="rId35" Type="http://schemas.openxmlformats.org/officeDocument/2006/relationships/hyperlink" Target="https://en.wikipedia.org/wiki/Hemodiafiltration" TargetMode="External"></Relationship><Relationship Id="rId36" Type="http://schemas.openxmlformats.org/officeDocument/2006/relationships/hyperlink" Target="https://en.wikipedia.org/wiki/Acute_kidney_injury" TargetMode="External"></Relationship><Relationship Id="rId37" Type="http://schemas.openxmlformats.org/officeDocument/2006/relationships/image" Target="media/image5.png"></Relationship><Relationship Id="rId38" Type="http://schemas.openxmlformats.org/officeDocument/2006/relationships/hyperlink" Target="https://en.wikipedia.org/wiki/File:Continuous_Venon_Venous_HaemoDIALAfiltration_(CVVHDF).svg" TargetMode="External"></Relationship><Relationship Id="rId39" Type="http://schemas.openxmlformats.org/officeDocument/2006/relationships/hyperlink" Target="https://en.wikipedia.org/wiki/Gum_arabic" TargetMode="External"></Relationship><Relationship Id="rId40" Type="http://schemas.openxmlformats.org/officeDocument/2006/relationships/hyperlink" Target="https://en.wikipedia.org/wiki/Polyethylene_glycol" TargetMode="External"></Relationship><Relationship Id="rId41" Type="http://schemas.openxmlformats.org/officeDocument/2006/relationships/hyperlink" Target="https://en.wikipedia.org/wiki/Mannitol" TargetMode="External"></Relationship><Relationship Id="rId42" Type="http://schemas.openxmlformats.org/officeDocument/2006/relationships/hyperlink" Target="https://en.wikipedia.org/wiki/Kidney_failure" TargetMode="External"></Relationship><Relationship Id="rId43" Type="http://schemas.openxmlformats.org/officeDocument/2006/relationships/hyperlink" Target="https://en.wikipedia.org/wiki/Acute_kidney_injury" TargetMode="External"></Relationship><Relationship Id="rId44" Type="http://schemas.openxmlformats.org/officeDocument/2006/relationships/hyperlink" Target="https://en.wikipedia.org/wiki/Acidemia" TargetMode="External"></Relationship><Relationship Id="rId45" Type="http://schemas.openxmlformats.org/officeDocument/2006/relationships/hyperlink" Target="https://en.wikipedia.org/wiki/Metabolic_acidosis" TargetMode="External"></Relationship><Relationship Id="rId46" Type="http://schemas.openxmlformats.org/officeDocument/2006/relationships/hyperlink" Target="https://en.wikipedia.org/wiki/Sodium_bicarbonate" TargetMode="External"></Relationship><Relationship Id="rId47" Type="http://schemas.openxmlformats.org/officeDocument/2006/relationships/hyperlink" Target="https://en.wikipedia.org/wiki/Electrolyte" TargetMode="External"></Relationship><Relationship Id="rId48" Type="http://schemas.openxmlformats.org/officeDocument/2006/relationships/hyperlink" Target="https://en.wikipedia.org/wiki/Hyperkalemia" TargetMode="External"></Relationship><Relationship Id="rId49" Type="http://schemas.openxmlformats.org/officeDocument/2006/relationships/hyperlink" Target="https://en.wikipedia.org/wiki/Substance_intoxication" TargetMode="External"></Relationship><Relationship Id="rId50" Type="http://schemas.openxmlformats.org/officeDocument/2006/relationships/hyperlink" Target="https://en.wikipedia.org/wiki/Salicylic_acid" TargetMode="External"></Relationship><Relationship Id="rId51" Type="http://schemas.openxmlformats.org/officeDocument/2006/relationships/hyperlink" Target="https://en.wikipedia.org/wiki/Lithium" TargetMode="External"></Relationship><Relationship Id="rId52" Type="http://schemas.openxmlformats.org/officeDocument/2006/relationships/hyperlink" Target="https://en.wikipedia.org/wiki/Isopropanol" TargetMode="External"></Relationship><Relationship Id="rId53" Type="http://schemas.openxmlformats.org/officeDocument/2006/relationships/hyperlink" Target="https://en.wikipedia.org/wiki/Magnesium" TargetMode="External"></Relationship><Relationship Id="rId54" Type="http://schemas.openxmlformats.org/officeDocument/2006/relationships/hyperlink" Target="https://en.wikipedia.org/wiki/Laxative" TargetMode="External"></Relationship><Relationship Id="rId55" Type="http://schemas.openxmlformats.org/officeDocument/2006/relationships/hyperlink" Target="https://en.wikipedia.org/wiki/Ethylene_glycol" TargetMode="External"></Relationship><Relationship Id="rId56" Type="http://schemas.openxmlformats.org/officeDocument/2006/relationships/hyperlink" Target="https://en.wikipedia.org/wiki/Uremia" TargetMode="External"></Relationship><Relationship Id="rId57" Type="http://schemas.openxmlformats.org/officeDocument/2006/relationships/hyperlink" Target="https://en.wikipedia.org/wiki/Pericarditis" TargetMode="External"></Relationship><Relationship Id="rId58" Type="http://schemas.openxmlformats.org/officeDocument/2006/relationships/hyperlink" Target="https://en.wikipedia.org/wiki/Encephalopathy" TargetMode="External"></Relationship><Relationship Id="rId59" Type="http://schemas.openxmlformats.org/officeDocument/2006/relationships/hyperlink" Target="https://en.wikipedia.org/wiki/Gastrointestinal_bleeding" TargetMode="External"></Relationship><Relationship Id="rId60" Type="http://schemas.openxmlformats.org/officeDocument/2006/relationships/hyperlink" Target="https://en.wikipedia.org/wiki/Glomerular_filtration_rate" TargetMode="External"></Relationship><Relationship Id="rId61" Type="http://schemas.openxmlformats.org/officeDocument/2006/relationships/hyperlink" Target="https://en.wikipedia.org/wiki/Disease_registry" TargetMode="External"></Relationship><Relationship Id="rId62" Type="http://schemas.openxmlformats.org/officeDocument/2006/relationships/hyperlink" Target="https://en.wiktionary.org/wiki/dialyzable" TargetMode="External"></Relationship><Relationship Id="rId63" Type="http://schemas.openxmlformats.org/officeDocument/2006/relationships/hyperlink" Target="https://en.wikipedia.org/wiki/Molecular_mass" TargetMode="External"></Relationship><Relationship Id="rId64" Type="http://schemas.openxmlformats.org/officeDocument/2006/relationships/hyperlink" Target="https://en.wikipedia.org/wiki/Half-life" TargetMode="External"></Relationship><Relationship Id="rId65" Type="http://schemas.openxmlformats.org/officeDocument/2006/relationships/hyperlink" Target="https://en.wikipedia.org/wiki/Ethylene_glycol_poisoning" TargetMode="External"></Relationship><Relationship Id="rId66" Type="http://schemas.openxmlformats.org/officeDocument/2006/relationships/hyperlink" Target="https://en.wikipedia.org/wiki/Procainamide" TargetMode="External"></Relationship><Relationship Id="rId67" Type="http://schemas.openxmlformats.org/officeDocument/2006/relationships/hyperlink" Target="https://en.wikipedia.org/wiki/Methanol" TargetMode="External"></Relationship><Relationship Id="rId68" Type="http://schemas.openxmlformats.org/officeDocument/2006/relationships/hyperlink" Target="https://en.wikipedia.org/wiki/Isopropyl_alcohol" TargetMode="External"></Relationship><Relationship Id="rId69" Type="http://schemas.openxmlformats.org/officeDocument/2006/relationships/hyperlink" Target="https://en.wikipedia.org/wiki/Barbiturates" TargetMode="External"></Relationship><Relationship Id="rId70" Type="http://schemas.openxmlformats.org/officeDocument/2006/relationships/hyperlink" Target="https://en.wikipedia.org/wiki/Lithium_(medication)" TargetMode="External"></Relationship><Relationship Id="rId71" Type="http://schemas.openxmlformats.org/officeDocument/2006/relationships/hyperlink" Target="https://en.wikipedia.org/wiki/Potassium_bromide" TargetMode="External"></Relationship><Relationship Id="rId72" Type="http://schemas.openxmlformats.org/officeDocument/2006/relationships/hyperlink" Target="https://en.wikipedia.org/wiki/Sotalol" TargetMode="External"></Relationship><Relationship Id="rId73" Type="http://schemas.openxmlformats.org/officeDocument/2006/relationships/hyperlink" Target="https://en.wikipedia.org/wiki/Chloral_hydrate" TargetMode="External"></Relationship><Relationship Id="rId74" Type="http://schemas.openxmlformats.org/officeDocument/2006/relationships/hyperlink" Target="https://en.wikipedia.org/wiki/Ethanol" TargetMode="External"></Relationship><Relationship Id="rId75" Type="http://schemas.openxmlformats.org/officeDocument/2006/relationships/hyperlink" Target="https://en.wikipedia.org/wiki/Acetone" TargetMode="External"></Relationship><Relationship Id="rId76" Type="http://schemas.openxmlformats.org/officeDocument/2006/relationships/hyperlink" Target="https://en.wikipedia.org/wiki/Atenolol" TargetMode="External"></Relationship><Relationship Id="rId77" Type="http://schemas.openxmlformats.org/officeDocument/2006/relationships/hyperlink" Target="https://en.wikipedia.org/wiki/Theophylline" TargetMode="External"></Relationship><Relationship Id="rId78" Type="http://schemas.openxmlformats.org/officeDocument/2006/relationships/hyperlink" Target="https://en.wikipedia.org/wiki/Salicylic_acid" TargetMode="External"></Relationship><Relationship Id="rId79" Type="http://schemas.openxmlformats.org/officeDocument/2006/relationships/hyperlink" Target="https://en.wikipedia.org/wiki/Baclofen" TargetMode="External"></Relationship><Relationship Id="rId80" Type="http://schemas.openxmlformats.org/officeDocument/2006/relationships/hyperlink" Target="https://en.wikipedia.org/wiki/Morbidity" TargetMode="External"></Relationship><Relationship Id="rId81" Type="http://schemas.openxmlformats.org/officeDocument/2006/relationships/hyperlink" Target="https://en.wikipedia.org/wiki/Mortality" TargetMode="External"></Relationship><Relationship Id="rId82" Type="http://schemas.openxmlformats.org/officeDocument/2006/relationships/hyperlink" Target="https://en.wikipedia.org/wiki/Inflammation" TargetMode="External"></Relationship><Relationship Id="rId83" Type="http://schemas.openxmlformats.org/officeDocument/2006/relationships/hyperlink" Target="https://en.wikipedia.org/wiki/Anaemia" TargetMode="External"></Relationship><Relationship Id="rId84" Type="http://schemas.openxmlformats.org/officeDocument/2006/relationships/hyperlink" Target="https://en.wikipedia.org/wiki/Synthetic_membranes" TargetMode="External"></Relationship><Relationship Id="rId85" Type="http://schemas.openxmlformats.org/officeDocument/2006/relationships/hyperlink" Target="https://en.wikipedia.org/wiki/Hemodialysis" TargetMode="External"></Relationship><Relationship Id="rId86" Type="http://schemas.openxmlformats.org/officeDocument/2006/relationships/numbering" Target="numbering.xml"></Relationship><Relationship Id="rId8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32424</Characters>
  <CharactersWithSpaces>0</CharactersWithSpaces>
  <DocSecurity>0</DocSecurity>
  <HyperlinksChanged>false</HyperlinksChanged>
  <Lines>230</Lines>
  <LinksUpToDate>false</LinksUpToDate>
  <Pages>12</Pages>
  <Paragraphs>64</Paragraphs>
  <Words>4848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>Polaris Office</cp:lastModifiedBy>
  <dcterms:modified xsi:type="dcterms:W3CDTF">2020-06-28T01:52:00Z</dcterms:modified>
</cp:coreProperties>
</file>