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Times New Roman" w:cs="Times New Roman"/>
          <w:b/>
          <w:bCs/>
          <w:color w:val="121212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color w:val="121212"/>
          <w:lang w:val="en-US"/>
        </w:rPr>
        <w:t>Name: Brownson Deborah Paul</w:t>
      </w:r>
    </w:p>
    <w:p>
      <w:pPr>
        <w:rPr>
          <w:rFonts w:hint="default" w:ascii="Times New Roman" w:hAnsi="Times New Roman" w:eastAsia="Times New Roman" w:cs="Times New Roman"/>
          <w:b/>
          <w:bCs/>
          <w:color w:val="121212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121212"/>
          <w:lang w:val="en-US"/>
        </w:rPr>
        <w:t>Matric number: 18/mhs02/056</w:t>
      </w:r>
    </w:p>
    <w:p>
      <w:pPr>
        <w:rPr>
          <w:rFonts w:hint="default" w:ascii="Times New Roman" w:hAnsi="Times New Roman" w:eastAsia="Times New Roman" w:cs="Times New Roman"/>
          <w:color w:val="121212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121212"/>
          <w:lang w:val="en-US"/>
        </w:rPr>
        <w:t>Micturition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lang w:val="en-US"/>
        </w:rPr>
        <w:t xml:space="preserve">Micturition 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is the release of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"/wiki/Urine" \o "Urine"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urine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from the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"/wiki/Urinary_bladder" \o "Urinary bladder"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urinary bladder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through the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"/wiki/Urethra" \o "Urethra"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urethra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to the outside of the body. It is the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"/wiki/Urinary_system" \o "Urinary system"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urinary system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's form of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"/wiki/Excretion" \o "Excretion"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excretion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. It is also known medically as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/>
          <w:color w:val="121212"/>
          <w:sz w:val="24"/>
          <w:szCs w:val="24"/>
          <w:bdr w:val="none" w:color="auto" w:sz="0" w:space="0"/>
          <w:vertAlign w:val="baseline"/>
        </w:rPr>
        <w:t>voiding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,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/>
          <w:color w:val="121212"/>
          <w:sz w:val="24"/>
          <w:szCs w:val="24"/>
          <w:bdr w:val="none" w:color="auto" w:sz="0" w:space="0"/>
          <w:vertAlign w:val="baseline"/>
        </w:rPr>
        <w:t>uresis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, or, rarely,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/>
          <w:color w:val="121212"/>
          <w:sz w:val="24"/>
          <w:szCs w:val="24"/>
          <w:bdr w:val="none" w:color="auto" w:sz="0" w:space="0"/>
          <w:vertAlign w:val="baseline"/>
        </w:rPr>
        <w:t>emiction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, and known colloquially by various names including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/>
          <w:color w:val="121212"/>
          <w:sz w:val="24"/>
          <w:szCs w:val="24"/>
          <w:bdr w:val="none" w:color="auto" w:sz="0" w:space="0"/>
          <w:vertAlign w:val="baseline"/>
        </w:rPr>
        <w:t>peeing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,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/>
          <w:color w:val="121212"/>
          <w:sz w:val="24"/>
          <w:szCs w:val="24"/>
          <w:bdr w:val="none" w:color="auto" w:sz="0" w:space="0"/>
          <w:vertAlign w:val="baseline"/>
        </w:rPr>
        <w:t>weeing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, and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b/>
          <w:color w:val="121212"/>
          <w:sz w:val="24"/>
          <w:szCs w:val="24"/>
          <w:bdr w:val="none" w:color="auto" w:sz="0" w:space="0"/>
          <w:vertAlign w:val="baseline"/>
        </w:rPr>
        <w:t>pissing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.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i w:val="0"/>
          <w:caps w:val="0"/>
          <w:color w:val="121212"/>
          <w:spacing w:val="0"/>
          <w:u w:val="none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In healthy humans (and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"" \l "Animals"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many other animals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) the process of urination is under voluntary control. In infants, some elderly individuals, and those with neurological injury, urination may occur as a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"/wiki/Reflex" \o "Reflex"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reflex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. It is normal for adult humans to urinate up to seven times during the day.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In some animals, in addition to expelling waste material, urination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"" \l "Other_animals"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can mark territory or express submissiveness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. Physiologically, urination involves coordination between the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"/wiki/Central_nervous_system" \o "Central nervous system"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central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,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"/wiki/Autonomic_nervous_system" \o "Autonomic nervous system"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autonomic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, and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"/wiki/Somatic_nervous_system" \o "Somatic nervous system"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somatic nervous systems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. Brain centres that regulate urination include the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"/wiki/Pontine_micturition_center" \o "Pontine micturition center"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pontine micturition center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,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"/wiki/Periaqueductal_gray" \o "Periaqueductal gray"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periaqueductal gray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, and the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"/wiki/Cerebral_cortex" \o "Cerebral cortex"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cerebral cortex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. In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"/wiki/Placental_mammal" \o "Placental mammal"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placental mammals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, urine is drained through the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"/wiki/Urinary_meatus" \o "Urinary meatus"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urinary meatus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, a urethral opening in the male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"/wiki/Penis" \o "Penis"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penis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or female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"/wiki/Vulval_vestibule" \o "Vulval vestibule"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vulval vestibule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.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</w:rPr>
        <w:fldChar w:fldCharType="begin" w:fldLock="1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</w:rPr>
        <w:instrText xml:space="preserve">INCLUDEPICTURE \d "e2713114ab4d8364e88acdfb510029ad" \* MERGEFORMATINET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1619250" cy="2828925"/>
            <wp:effectExtent l="0" t="0" r="3810" b="0"/>
            <wp:docPr id="3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</w:rPr>
        <w:fldChar w:fldCharType="end"/>
      </w:r>
    </w:p>
    <w:p>
      <w:pPr>
        <w:rPr>
          <w:rFonts w:hint="default" w:ascii="Times New Roman" w:hAnsi="Times New Roman" w:eastAsia="Times New Roman" w:cs="Times New Roman"/>
          <w:vanish/>
          <w:color w:val="121212"/>
          <w:sz w:val="24"/>
          <w:szCs w:val="24"/>
        </w:rPr>
      </w:pPr>
    </w:p>
    <w:tbl>
      <w:tblPr>
        <w:tblW w:w="5730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0"/>
      </w:tblGrid>
      <w:tr>
        <w:tc>
          <w:tcPr>
            <w:tcW w:w="5730" w:type="dxa"/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color w:val="121212"/>
                <w:sz w:val="24"/>
                <w:szCs w:val="24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Due to the positions where the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"/wiki/Urethra" \o "Urethra"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urethra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exits the body, males and females often use different techniques for urination.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" w:lineRule="atLeast"/>
        <w:textAlignment w:val="baseline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b/>
          <w:color w:val="121212"/>
          <w:sz w:val="28"/>
          <w:szCs w:val="28"/>
          <w:bdr w:val="none" w:color="auto" w:sz="0" w:space="0"/>
        </w:rPr>
        <w:t xml:space="preserve">Male </w:t>
      </w:r>
      <w:r>
        <w:rPr>
          <w:rFonts w:hint="default" w:ascii="Times New Roman" w:hAnsi="Times New Roman" w:eastAsia="Times New Roman" w:cs="Times New Roman"/>
          <w:b/>
          <w:color w:val="121212"/>
          <w:sz w:val="28"/>
          <w:szCs w:val="28"/>
          <w:bdr w:val="none" w:color="auto" w:sz="0" w:space="0"/>
          <w:lang w:val="en-US"/>
        </w:rPr>
        <w:t xml:space="preserve">Micturition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Most males prefer to urinate standing while others prefer to urinate sitting or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"/wiki/Squatting_position" \o "Squatting position"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squatting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. Elderly males with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"/wiki/Prostate_gland" \o "Prostate gland"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prostate gland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enlargement may benefit from sitting down while in healthy males, no difference is found in the ability to urinate.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For practising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"/wiki/Muslim" \o "Muslim"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Muslim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men, the genital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"/wiki/Modesty" \o "Modesty"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modesty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of squatting is also associated with proper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"/wiki/Cleanliness" \o "Cleanliness"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cleanliness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requirements or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"/wiki/Awrah" \o "Awrah"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awrah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" w:lineRule="atLeast"/>
        <w:textAlignment w:val="baseline"/>
        <w:rPr>
          <w:rFonts w:hint="default" w:ascii="Times New Roman" w:hAnsi="Times New Roman" w:eastAsia="Times New Roman" w:cs="Times New Roman"/>
          <w:b/>
          <w:color w:val="121212"/>
        </w:rPr>
      </w:pPr>
      <w:r>
        <w:rPr>
          <w:rFonts w:hint="default" w:ascii="Times New Roman" w:hAnsi="Times New Roman" w:eastAsia="Times New Roman" w:cs="Times New Roman"/>
          <w:b/>
          <w:color w:val="121212"/>
          <w:sz w:val="28"/>
          <w:szCs w:val="28"/>
          <w:bdr w:val="none" w:color="auto" w:sz="0" w:space="0"/>
        </w:rPr>
        <w:t xml:space="preserve">Female </w:t>
      </w:r>
      <w:r>
        <w:rPr>
          <w:rFonts w:hint="default" w:ascii="Times New Roman" w:hAnsi="Times New Roman" w:eastAsia="Times New Roman" w:cs="Times New Roman"/>
          <w:b/>
          <w:color w:val="121212"/>
          <w:sz w:val="28"/>
          <w:szCs w:val="28"/>
          <w:bdr w:val="none" w:color="auto" w:sz="0" w:space="0"/>
          <w:lang w:val="en-US"/>
        </w:rPr>
        <w:t xml:space="preserve">Micturition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</w:rPr>
        <w:fldChar w:fldCharType="begin" w:fldLock="1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</w:rPr>
        <w:instrText xml:space="preserve">INCLUDEPICTURE \d "7e1040bc678bb5a9bd40b856f9f36652" \* MERGEFORMATINET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2095500" cy="2095500"/>
            <wp:effectExtent l="0" t="0" r="1905" b="1905"/>
            <wp:docPr id="1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</w:rPr>
        <w:fldChar w:fldCharType="end"/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3" w:lineRule="atLeast"/>
        <w:ind w:left="0" w:right="0"/>
        <w:jc w:val="left"/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Location of the bladder and urethra in adult human female (</w:t>
      </w:r>
      <w:r>
        <w:rPr>
          <w:rFonts w:hint="default" w:ascii="Times New Roman" w:hAnsi="Times New Roman" w:eastAsia="Times New Roman" w:cs="Times New Roman"/>
          <w:color w:val="121212"/>
          <w:kern w:val="0"/>
          <w:sz w:val="19"/>
          <w:szCs w:val="19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kern w:val="0"/>
          <w:sz w:val="19"/>
          <w:szCs w:val="19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"/wiki/Anatomical_plane" \o "Anatomical plane" </w:instrText>
      </w:r>
      <w:r>
        <w:rPr>
          <w:rFonts w:hint="default" w:ascii="Times New Roman" w:hAnsi="Times New Roman" w:eastAsia="Times New Roman" w:cs="Times New Roman"/>
          <w:color w:val="121212"/>
          <w:kern w:val="0"/>
          <w:sz w:val="19"/>
          <w:szCs w:val="19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19"/>
          <w:szCs w:val="19"/>
          <w:u w:val="none"/>
          <w:bdr w:val="none" w:color="auto" w:sz="0" w:space="0"/>
          <w:vertAlign w:val="baseline"/>
        </w:rPr>
        <w:t>sagittal section</w:t>
      </w:r>
      <w:r>
        <w:rPr>
          <w:rFonts w:hint="default" w:ascii="Times New Roman" w:hAnsi="Times New Roman" w:eastAsia="Times New Roman" w:cs="Times New Roman"/>
          <w:color w:val="121212"/>
          <w:kern w:val="0"/>
          <w:sz w:val="19"/>
          <w:szCs w:val="19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)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In human females, the urethra opens straight into the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"/wiki/Vulva" \o "Vulva"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vulva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. Hence, urination can take place while sitting or squatting for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"/wiki/Defecation" \o "Defecation"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defecation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. It is also possible for females to urinate while standing, and while clothed.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It is common for women in various regions of Africa to use this method when they urinate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  <w:lang w:val="en-US"/>
        </w:rPr>
        <w:t>.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An alternative method for women to urinate standing is to use a tool known as a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"/wiki/Female_urination_device" \o "Female urination device"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female urination device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to assist.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color w:val="121212"/>
          <w:sz w:val="24"/>
          <w:szCs w:val="24"/>
          <w:bdr w:val="none" w:color="auto" w:sz="0" w:space="0"/>
          <w:vertAlign w:val="baseline"/>
          <w:lang w:val="en-US"/>
        </w:rPr>
        <w:t>Micturition in Young Children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  <w:lang w:val="en-US"/>
        </w:rPr>
        <w:t xml:space="preserve">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A common technique used in many undeveloped nations involves holding the child by the backs of the thighs, above the ground, facing outward, in order to urinate.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" w:lineRule="atLeast"/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121212"/>
          <w:sz w:val="28"/>
          <w:szCs w:val="28"/>
          <w:bdr w:val="none" w:color="auto" w:sz="0" w:space="0"/>
        </w:rPr>
        <w:t xml:space="preserve">Fetal </w:t>
      </w:r>
      <w:r>
        <w:rPr>
          <w:rFonts w:hint="default" w:ascii="Times New Roman" w:hAnsi="Times New Roman" w:eastAsia="Times New Roman" w:cs="Times New Roman"/>
          <w:b/>
          <w:color w:val="121212"/>
          <w:sz w:val="28"/>
          <w:szCs w:val="28"/>
          <w:bdr w:val="none" w:color="auto" w:sz="0" w:space="0"/>
          <w:lang w:val="en-US"/>
        </w:rPr>
        <w:t xml:space="preserve">Micturition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extAlignment w:val="baseline"/>
        <w:rPr>
          <w:rFonts w:hint="default" w:ascii="Times New Roman" w:hAnsi="Times New Roman" w:eastAsia="Times New Roman" w:cs="Times New Roman"/>
          <w:color w:val="121212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The fetus urinates hourly and produces most of the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instrText xml:space="preserve"> HYPERLINK "/wiki/Amniotic_fluid" \o "Amniotic fluid" </w:instrTex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t>amniotic fluid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bdr w:val="none" w:color="auto" w:sz="0" w:space="0"/>
          <w:vertAlign w:val="baseline"/>
        </w:rPr>
        <w:t>in the second and third trimester of pregnancy. The amniotic fluid is then recycled by fetal swallowing.</w:t>
      </w:r>
    </w:p>
    <w:p>
      <w:pPr>
        <w:rPr>
          <w:rFonts w:hint="default" w:ascii="Times New Roman" w:hAnsi="Times New Roman" w:eastAsia="Times New Roman" w:cs="Times New Roman"/>
          <w:color w:val="12121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nux Libertine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7e1040bc678bb5a9bd40b856f9f36652" TargetMode="External"/><Relationship Id="rId6" Type="http://schemas.openxmlformats.org/officeDocument/2006/relationships/image" Target="media/image2.png"/><Relationship Id="rId5" Type="http://schemas.openxmlformats.org/officeDocument/2006/relationships/image" Target="e2713114ab4d8364e88acdfb510029ad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2020-06-29T11:21:37Z</dcterms:created>
  <dc:creator>Angel’s iphone 💘</dc:creator>
  <cp:lastModifiedBy>Angel’s iphone 💘</cp:lastModifiedBy>
  <dcterms:modified xsi:type="dcterms:W3CDTF">2020-06-29T11:31:16Z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