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DF3EE" w14:textId="42B97193" w:rsidR="0BEB3642" w:rsidRDefault="0BEB3642" w:rsidP="0BEB3642">
      <w:pPr>
        <w:rPr>
          <w:rFonts w:ascii="Calibri" w:eastAsia="Calibri" w:hAnsi="Calibri" w:cs="Calibri"/>
        </w:rPr>
      </w:pPr>
      <w:r w:rsidRPr="0BEB3642">
        <w:rPr>
          <w:rFonts w:ascii="Calibri" w:eastAsia="Calibri" w:hAnsi="Calibri" w:cs="Calibri"/>
          <w:b/>
          <w:bCs/>
          <w:sz w:val="24"/>
          <w:szCs w:val="24"/>
        </w:rPr>
        <w:t>Name:</w:t>
      </w:r>
      <w:r w:rsidRPr="0BEB3642">
        <w:rPr>
          <w:rFonts w:ascii="Calibri" w:eastAsia="Calibri" w:hAnsi="Calibri" w:cs="Calibri"/>
          <w:sz w:val="32"/>
          <w:szCs w:val="32"/>
        </w:rPr>
        <w:t xml:space="preserve"> Nwankwo Kamsiyochukwu Adanna</w:t>
      </w:r>
    </w:p>
    <w:p w14:paraId="5DA76BBF" w14:textId="51169BBD" w:rsidR="0BEB3642" w:rsidRDefault="0BEB3642" w:rsidP="0BEB3642">
      <w:pPr>
        <w:rPr>
          <w:rFonts w:ascii="Calibri" w:eastAsia="Calibri" w:hAnsi="Calibri" w:cs="Calibri"/>
        </w:rPr>
      </w:pPr>
      <w:r w:rsidRPr="0BEB3642">
        <w:rPr>
          <w:rFonts w:ascii="Calibri" w:eastAsia="Calibri" w:hAnsi="Calibri" w:cs="Calibri"/>
          <w:b/>
          <w:bCs/>
          <w:sz w:val="24"/>
          <w:szCs w:val="24"/>
        </w:rPr>
        <w:t xml:space="preserve">Matric No.: </w:t>
      </w:r>
      <w:r w:rsidRPr="0BEB3642">
        <w:rPr>
          <w:rFonts w:ascii="Calibri" w:eastAsia="Calibri" w:hAnsi="Calibri" w:cs="Calibri"/>
          <w:sz w:val="24"/>
          <w:szCs w:val="24"/>
        </w:rPr>
        <w:t>19/MHS01/263</w:t>
      </w:r>
    </w:p>
    <w:p w14:paraId="49820778" w14:textId="256CD627" w:rsidR="0BEB3642" w:rsidRDefault="0BEB3642" w:rsidP="0BEB3642">
      <w:pPr>
        <w:rPr>
          <w:rFonts w:ascii="Calibri" w:eastAsia="Calibri" w:hAnsi="Calibri" w:cs="Calibri"/>
        </w:rPr>
      </w:pPr>
      <w:r w:rsidRPr="0BEB3642">
        <w:rPr>
          <w:rFonts w:ascii="Calibri" w:eastAsia="Calibri" w:hAnsi="Calibri" w:cs="Calibri"/>
          <w:b/>
          <w:bCs/>
          <w:sz w:val="24"/>
          <w:szCs w:val="24"/>
        </w:rPr>
        <w:t xml:space="preserve">DEPT.: </w:t>
      </w:r>
      <w:r w:rsidRPr="0BEB3642">
        <w:rPr>
          <w:rFonts w:ascii="Calibri" w:eastAsia="Calibri" w:hAnsi="Calibri" w:cs="Calibri"/>
          <w:sz w:val="24"/>
          <w:szCs w:val="24"/>
        </w:rPr>
        <w:t>MBBS</w:t>
      </w:r>
    </w:p>
    <w:p w14:paraId="5B2347F2" w14:textId="2DFC1D7F" w:rsidR="0BEB3642" w:rsidRDefault="0BEB3642" w:rsidP="0BEB3642">
      <w:pPr>
        <w:rPr>
          <w:rFonts w:ascii="Calibri" w:eastAsia="Calibri" w:hAnsi="Calibri" w:cs="Calibri"/>
          <w:sz w:val="24"/>
          <w:szCs w:val="24"/>
        </w:rPr>
      </w:pPr>
      <w:r w:rsidRPr="0BEB3642">
        <w:rPr>
          <w:rFonts w:ascii="Calibri" w:eastAsia="Calibri" w:hAnsi="Calibri" w:cs="Calibri"/>
          <w:b/>
          <w:bCs/>
          <w:sz w:val="24"/>
          <w:szCs w:val="24"/>
        </w:rPr>
        <w:t xml:space="preserve">COURSE CODE: </w:t>
      </w:r>
      <w:r w:rsidRPr="0BEB3642">
        <w:rPr>
          <w:rFonts w:ascii="Calibri" w:eastAsia="Calibri" w:hAnsi="Calibri" w:cs="Calibri"/>
          <w:sz w:val="24"/>
          <w:szCs w:val="24"/>
        </w:rPr>
        <w:t>GST 122</w:t>
      </w:r>
    </w:p>
    <w:p w14:paraId="2424FB01" w14:textId="57C3893A" w:rsidR="0BEB3642" w:rsidRDefault="0BEB3642" w:rsidP="0BEB3642">
      <w:pPr>
        <w:jc w:val="center"/>
        <w:rPr>
          <w:rFonts w:ascii="Calibri" w:eastAsia="Calibri" w:hAnsi="Calibri" w:cs="Calibri"/>
          <w:b/>
          <w:bCs/>
          <w:sz w:val="32"/>
          <w:szCs w:val="32"/>
          <w:u w:val="single"/>
        </w:rPr>
      </w:pPr>
      <w:r w:rsidRPr="0BEB3642">
        <w:rPr>
          <w:rFonts w:ascii="Calibri" w:eastAsia="Calibri" w:hAnsi="Calibri" w:cs="Calibri"/>
          <w:b/>
          <w:bCs/>
          <w:sz w:val="32"/>
          <w:szCs w:val="32"/>
          <w:u w:val="single"/>
        </w:rPr>
        <w:t>Gender Inequality</w:t>
      </w:r>
    </w:p>
    <w:p w14:paraId="0A9091A5" w14:textId="57428EAE" w:rsidR="0BEB3642" w:rsidRDefault="0BEB3642" w:rsidP="0BEB3642">
      <w:pPr>
        <w:spacing w:line="360" w:lineRule="auto"/>
        <w:ind w:firstLine="720"/>
        <w:jc w:val="both"/>
        <w:rPr>
          <w:rFonts w:ascii="Calibri" w:eastAsia="Calibri" w:hAnsi="Calibri" w:cs="Calibri"/>
          <w:color w:val="000000" w:themeColor="text1"/>
        </w:rPr>
      </w:pPr>
      <w:r w:rsidRPr="0BEB3642">
        <w:rPr>
          <w:rFonts w:ascii="Calibri" w:eastAsia="Calibri" w:hAnsi="Calibri" w:cs="Calibri"/>
          <w:color w:val="000000" w:themeColor="text1"/>
        </w:rPr>
        <w:t xml:space="preserve">Gender inequality is a threatening drawback that causes unfair treatment in society between different genders. This misperception comes originally from the incorrect understanding regarding the position of both genders in life. And from each angle of life we have a tendency to all see the contradiction in terms that make women suffer adversities and place women into unpleasant state of affairs. However, the strategy of gender discrimination in one place differs from that in others. For instance, in work, gender inequality is prominent. Inequality at work is demonstrated through the dissimilarity between salaries of the genders. In the past, men are liable to have additional probabilities to do things like schooling. Young women seemed to have fewer opportunities for higher education than young men. </w:t>
      </w:r>
    </w:p>
    <w:p w14:paraId="31010B73" w14:textId="58A46E18" w:rsidR="0BEB3642" w:rsidRDefault="0BEB3642" w:rsidP="0BEB3642">
      <w:pPr>
        <w:spacing w:line="360" w:lineRule="auto"/>
        <w:ind w:firstLine="720"/>
        <w:jc w:val="both"/>
        <w:rPr>
          <w:rFonts w:ascii="Calibri" w:eastAsia="Calibri" w:hAnsi="Calibri" w:cs="Calibri"/>
          <w:color w:val="000000" w:themeColor="text1"/>
        </w:rPr>
      </w:pPr>
      <w:r w:rsidRPr="0BEB3642">
        <w:rPr>
          <w:rFonts w:ascii="Calibri" w:eastAsia="Calibri" w:hAnsi="Calibri" w:cs="Calibri"/>
          <w:color w:val="000000" w:themeColor="text1"/>
        </w:rPr>
        <w:t>Over the years, the world has gotten nearer to achieving gender equality. There's higher illustration of ladies in politics, additional economic opportunities, and nearly equal pay in several places of the world. However, the World Economic Forum estimates it'll take another century before true gender equality becomes a reality. So, what drives the gap between genders?</w:t>
      </w:r>
    </w:p>
    <w:p w14:paraId="3E787F36" w14:textId="1B46CE60" w:rsidR="0BEB3642" w:rsidRDefault="0BEB3642" w:rsidP="0BEB3642">
      <w:pPr>
        <w:spacing w:line="360" w:lineRule="auto"/>
        <w:ind w:firstLine="720"/>
        <w:jc w:val="both"/>
        <w:rPr>
          <w:rFonts w:ascii="Calibri" w:eastAsia="Calibri" w:hAnsi="Calibri" w:cs="Calibri"/>
          <w:color w:val="000000" w:themeColor="text1"/>
        </w:rPr>
      </w:pPr>
      <w:r w:rsidRPr="0BEB3642">
        <w:rPr>
          <w:rFonts w:ascii="Calibri" w:eastAsia="Calibri" w:hAnsi="Calibri" w:cs="Calibri"/>
          <w:color w:val="000000" w:themeColor="text1"/>
        </w:rPr>
        <w:t xml:space="preserve">Around the world, women still have less access to education than men. 1⁄4 of young women between 15-24 did not finish elementary school. That group makes up 58% of the people not finishing that basic education. Of all the illiterate people in the world, 2⁄3 are women. When girls are not educated on the same level as boys, it has a major effect on their future and the kinds of opportunities they’ll get. </w:t>
      </w:r>
    </w:p>
    <w:p w14:paraId="2223F894" w14:textId="679425BF" w:rsidR="0BEB3642" w:rsidRDefault="0BEB3642" w:rsidP="0BEB3642">
      <w:pPr>
        <w:spacing w:line="360" w:lineRule="auto"/>
        <w:ind w:firstLine="720"/>
        <w:jc w:val="both"/>
        <w:rPr>
          <w:rFonts w:ascii="Calibri" w:eastAsia="Calibri" w:hAnsi="Calibri" w:cs="Calibri"/>
          <w:color w:val="000000" w:themeColor="text1"/>
        </w:rPr>
      </w:pPr>
      <w:r w:rsidRPr="0BEB3642">
        <w:rPr>
          <w:rFonts w:ascii="Calibri" w:eastAsia="Calibri" w:hAnsi="Calibri" w:cs="Calibri"/>
          <w:color w:val="000000" w:themeColor="text1"/>
        </w:rPr>
        <w:t xml:space="preserve">Another one among the causes for gender inequality within employment is the division of jobs. In most societies, there’s an inherent belief that men are simply higher equipped to handle certain jobs. Most of the time, those are the jobs that pay the best. This discrimination leads to lower financial gain for ladies. women also combat the primary responsibility for unpaid labor, thus when they participate within the paid work force, they have additional work that never gets recognized financially. only half-dozen countries within the world offer women identical legal work rights as men. In fact, most economies offer women only ¾ of the rights of men. Studies show that if employment became a more even playing field, it will have a positive outcome on different areas liable to gender inequality. </w:t>
      </w:r>
    </w:p>
    <w:p w14:paraId="2E021364" w14:textId="361D0272" w:rsidR="0BEB3642" w:rsidRDefault="0BEB3642" w:rsidP="0BEB3642">
      <w:pPr>
        <w:spacing w:line="360" w:lineRule="auto"/>
        <w:ind w:firstLine="720"/>
        <w:jc w:val="both"/>
      </w:pPr>
      <w:r w:rsidRPr="0BEB3642">
        <w:rPr>
          <w:rFonts w:ascii="Calibri" w:eastAsia="Calibri" w:hAnsi="Calibri" w:cs="Calibri"/>
        </w:rPr>
        <w:lastRenderedPageBreak/>
        <w:t>Let’s not forget, many women around the world do not have authority over their own bodies or when they become parents. Accessing birth control is frequently very difficult. According to the World Health Organization, over 200 million women who don’t want to get pregnant are not using contraception. There are various reasons for this such as lack of options, limited access, and cultural/religious opposition. On a global scale, about 40% of pregnancies are not planned and while 50% of them do end in abortion, 38% result in births. These mothers often become financially dependent on another person or the state thereby losing their freedom.</w:t>
      </w:r>
    </w:p>
    <w:p w14:paraId="167593DF" w14:textId="3EEC3988" w:rsidR="0BEB3642" w:rsidRDefault="0BEB3642" w:rsidP="0BEB3642">
      <w:pPr>
        <w:spacing w:line="360" w:lineRule="auto"/>
        <w:ind w:firstLine="720"/>
        <w:jc w:val="both"/>
      </w:pPr>
      <w:r w:rsidRPr="0BEB3642">
        <w:rPr>
          <w:rFonts w:ascii="Calibri" w:eastAsia="Calibri" w:hAnsi="Calibri" w:cs="Calibri"/>
        </w:rPr>
        <w:t>It is also very known that women have a lack of political representation. Despite progress in this area over the years, women are still grossly underrepresented in government and the political process. This means that certain issues that female politicians tend to bring up – such as parental leave and childcare, pensions, gender equality laws and gender-based violence – are often neglected.</w:t>
      </w:r>
    </w:p>
    <w:p w14:paraId="3C68FF20" w14:textId="152EB513" w:rsidR="0BEB3642" w:rsidRDefault="0BEB3642" w:rsidP="0BEB3642">
      <w:pPr>
        <w:spacing w:line="360" w:lineRule="auto"/>
        <w:ind w:firstLine="720"/>
        <w:jc w:val="both"/>
      </w:pPr>
      <w:r w:rsidRPr="0BEB3642">
        <w:rPr>
          <w:rFonts w:ascii="Calibri" w:eastAsia="Calibri" w:hAnsi="Calibri" w:cs="Calibri"/>
        </w:rPr>
        <w:t>It would be impossible to talk about gender inequality without talking about racism. It affects what jobs women of color are able to get and how much they’re paid, as well as how they are viewed by legal and healthcare systems. Gender inequality and racism have been closely-linked for a long time. The pay gaps between white women and women of color continues that legacy of discrimination and contributes to gender inequality.</w:t>
      </w:r>
    </w:p>
    <w:p w14:paraId="6D601561" w14:textId="20146BAF" w:rsidR="0BEB3642" w:rsidRDefault="0BEB3642" w:rsidP="0BEB3642">
      <w:pPr>
        <w:spacing w:line="360" w:lineRule="auto"/>
        <w:ind w:firstLine="720"/>
        <w:jc w:val="both"/>
      </w:pPr>
      <w:r w:rsidRPr="0BEB3642">
        <w:rPr>
          <w:rFonts w:ascii="Calibri" w:eastAsia="Calibri" w:hAnsi="Calibri" w:cs="Calibri"/>
        </w:rPr>
        <w:t>The overall mindset of a society as well has a significant impact on gender inequality. How society determines the differences and value of men vs. women plays a starring role in every arena, whether it’s employment or the legal system or healthcare. Beliefs about gender run deep and even though progress can be made through laws and structural changes, there’s often a pushback following times of major change. It’s also common for everyone (men and women) to ignore other areas of gender inequality when there’s progress, such as better representation for women in leadership. These types of mindsets prop up gender inequality and delay significant change.</w:t>
      </w:r>
    </w:p>
    <w:p w14:paraId="5B72D2BE" w14:textId="2A15A399" w:rsidR="0BEB3642" w:rsidRDefault="0BEB3642" w:rsidP="0BEB3642">
      <w:pPr>
        <w:spacing w:line="360" w:lineRule="auto"/>
        <w:ind w:firstLine="720"/>
        <w:jc w:val="both"/>
      </w:pPr>
      <w:r w:rsidRPr="0BEB3642">
        <w:rPr>
          <w:rFonts w:ascii="Calibri" w:eastAsia="Calibri" w:hAnsi="Calibri" w:cs="Calibri"/>
        </w:rPr>
        <w:t>From all the discussing above, gender inequality is obviously an urgent problem in the world. Despite the fact that its volume much decreases, it still exists and make a lot of people suffer its consequences every day. And there are many reasons leading to gender discrimination which cannot be solved easily. However, with education and progressive thoughts of people, there are also reasons to trust in the future of gender inequality being stopped. Then, hopefully, people can live in fairness no matter what gender they are.</w:t>
      </w:r>
    </w:p>
    <w:p w14:paraId="2ED6B68B" w14:textId="4870A9BA" w:rsidR="0BEB3642" w:rsidRDefault="0BEB3642" w:rsidP="0BEB3642">
      <w:pPr>
        <w:spacing w:line="276" w:lineRule="auto"/>
        <w:jc w:val="both"/>
        <w:rPr>
          <w:rFonts w:ascii="Calibri" w:eastAsia="Calibri" w:hAnsi="Calibri" w:cs="Calibri"/>
          <w:b/>
          <w:bCs/>
          <w:i/>
          <w:iCs/>
          <w:sz w:val="18"/>
          <w:szCs w:val="18"/>
        </w:rPr>
      </w:pPr>
    </w:p>
    <w:p w14:paraId="4225B1CE" w14:textId="05ED6615" w:rsidR="0BEB3642" w:rsidRDefault="0BEB3642" w:rsidP="0BEB3642">
      <w:pPr>
        <w:spacing w:line="276" w:lineRule="auto"/>
        <w:jc w:val="both"/>
        <w:rPr>
          <w:rFonts w:ascii="Calibri" w:eastAsia="Calibri" w:hAnsi="Calibri" w:cs="Calibri"/>
          <w:b/>
          <w:bCs/>
          <w:i/>
          <w:iCs/>
          <w:sz w:val="18"/>
          <w:szCs w:val="18"/>
        </w:rPr>
      </w:pPr>
    </w:p>
    <w:p w14:paraId="7B8D4C86" w14:textId="5D7D11DA" w:rsidR="0BEB3642" w:rsidRDefault="0BEB3642" w:rsidP="0BEB3642">
      <w:pPr>
        <w:spacing w:line="276" w:lineRule="auto"/>
        <w:jc w:val="both"/>
        <w:rPr>
          <w:rFonts w:ascii="Calibri" w:eastAsia="Calibri" w:hAnsi="Calibri" w:cs="Calibri"/>
          <w:b/>
          <w:bCs/>
          <w:i/>
          <w:iCs/>
          <w:sz w:val="18"/>
          <w:szCs w:val="18"/>
        </w:rPr>
      </w:pPr>
      <w:r w:rsidRPr="0BEB3642">
        <w:rPr>
          <w:rFonts w:ascii="Calibri" w:eastAsia="Calibri" w:hAnsi="Calibri" w:cs="Calibri"/>
          <w:b/>
          <w:bCs/>
          <w:i/>
          <w:iCs/>
          <w:sz w:val="18"/>
          <w:szCs w:val="18"/>
        </w:rPr>
        <w:t>REFERENCES.</w:t>
      </w:r>
    </w:p>
    <w:p w14:paraId="71C0D007" w14:textId="1BF0C35E" w:rsidR="0BEB3642" w:rsidRDefault="00B36902" w:rsidP="0BEB3642">
      <w:pPr>
        <w:pStyle w:val="ListParagraph"/>
        <w:numPr>
          <w:ilvl w:val="0"/>
          <w:numId w:val="1"/>
        </w:numPr>
        <w:spacing w:line="276" w:lineRule="auto"/>
        <w:jc w:val="both"/>
        <w:rPr>
          <w:rFonts w:eastAsiaTheme="minorEastAsia"/>
          <w:b/>
          <w:bCs/>
          <w:sz w:val="18"/>
          <w:szCs w:val="18"/>
        </w:rPr>
      </w:pPr>
      <w:hyperlink r:id="rId5">
        <w:r w:rsidR="0BEB3642" w:rsidRPr="0BEB3642">
          <w:rPr>
            <w:rStyle w:val="Hyperlink"/>
            <w:rFonts w:ascii="Calibri" w:eastAsia="Calibri" w:hAnsi="Calibri" w:cs="Calibri"/>
            <w:b/>
            <w:bCs/>
            <w:i/>
            <w:iCs/>
            <w:sz w:val="18"/>
            <w:szCs w:val="18"/>
          </w:rPr>
          <w:t>https://brainly.in/question/12734434</w:t>
        </w:r>
      </w:hyperlink>
    </w:p>
    <w:p w14:paraId="35B7871F" w14:textId="4BAC044A" w:rsidR="0BEB3642" w:rsidRDefault="00B36902" w:rsidP="0BEB3642">
      <w:pPr>
        <w:pStyle w:val="ListParagraph"/>
        <w:numPr>
          <w:ilvl w:val="0"/>
          <w:numId w:val="1"/>
        </w:numPr>
        <w:spacing w:line="276" w:lineRule="auto"/>
        <w:jc w:val="both"/>
        <w:rPr>
          <w:rFonts w:eastAsiaTheme="minorEastAsia"/>
          <w:b/>
          <w:bCs/>
          <w:sz w:val="18"/>
          <w:szCs w:val="18"/>
        </w:rPr>
      </w:pPr>
      <w:hyperlink r:id="rId6">
        <w:r w:rsidR="0BEB3642" w:rsidRPr="0BEB3642">
          <w:rPr>
            <w:rStyle w:val="Hyperlink"/>
            <w:rFonts w:ascii="Calibri" w:eastAsia="Calibri" w:hAnsi="Calibri" w:cs="Calibri"/>
            <w:b/>
            <w:bCs/>
            <w:i/>
            <w:iCs/>
            <w:sz w:val="18"/>
            <w:szCs w:val="18"/>
          </w:rPr>
          <w:t>https://www.coursehero.com/file/32176385/GD-Group-Case-Conclusiondocx/</w:t>
        </w:r>
      </w:hyperlink>
    </w:p>
    <w:p w14:paraId="431F9D79" w14:textId="4EE27AA0" w:rsidR="0BEB3642" w:rsidRDefault="00B36902" w:rsidP="0BEB3642">
      <w:pPr>
        <w:pStyle w:val="ListParagraph"/>
        <w:numPr>
          <w:ilvl w:val="0"/>
          <w:numId w:val="1"/>
        </w:numPr>
        <w:spacing w:line="276" w:lineRule="auto"/>
        <w:jc w:val="both"/>
        <w:rPr>
          <w:rFonts w:eastAsiaTheme="minorEastAsia"/>
          <w:b/>
          <w:bCs/>
          <w:sz w:val="18"/>
          <w:szCs w:val="18"/>
        </w:rPr>
      </w:pPr>
      <w:hyperlink r:id="rId7">
        <w:r w:rsidR="0BEB3642" w:rsidRPr="0BEB3642">
          <w:rPr>
            <w:rStyle w:val="Hyperlink"/>
            <w:rFonts w:ascii="Calibri" w:eastAsia="Calibri" w:hAnsi="Calibri" w:cs="Calibri"/>
            <w:b/>
            <w:bCs/>
            <w:i/>
            <w:iCs/>
            <w:sz w:val="18"/>
            <w:szCs w:val="18"/>
          </w:rPr>
          <w:t>https://genderstereotypescom.wordpress.com/2016/07/23/eliminating-gender-stereotypes/</w:t>
        </w:r>
      </w:hyperlink>
    </w:p>
    <w:p w14:paraId="65AE83A7" w14:textId="401471EF" w:rsidR="0BEB3642" w:rsidRDefault="00B36902" w:rsidP="0BEB3642">
      <w:pPr>
        <w:pStyle w:val="ListParagraph"/>
        <w:numPr>
          <w:ilvl w:val="0"/>
          <w:numId w:val="1"/>
        </w:numPr>
        <w:spacing w:line="276" w:lineRule="auto"/>
        <w:jc w:val="both"/>
        <w:rPr>
          <w:rFonts w:eastAsiaTheme="minorEastAsia"/>
          <w:b/>
          <w:bCs/>
          <w:sz w:val="18"/>
          <w:szCs w:val="18"/>
        </w:rPr>
      </w:pPr>
      <w:hyperlink r:id="rId8">
        <w:r w:rsidR="0BEB3642" w:rsidRPr="0BEB3642">
          <w:rPr>
            <w:rStyle w:val="Hyperlink"/>
            <w:rFonts w:ascii="Calibri" w:eastAsia="Calibri" w:hAnsi="Calibri" w:cs="Calibri"/>
            <w:b/>
            <w:bCs/>
            <w:i/>
            <w:iCs/>
            <w:sz w:val="18"/>
            <w:szCs w:val="18"/>
          </w:rPr>
          <w:t>https://jmaeancheta.wordpress.com/</w:t>
        </w:r>
      </w:hyperlink>
    </w:p>
    <w:p w14:paraId="22561732" w14:textId="1248810E" w:rsidR="0BEB3642" w:rsidRDefault="0BEB3642" w:rsidP="0BEB3642">
      <w:pPr>
        <w:spacing w:line="360" w:lineRule="auto"/>
        <w:jc w:val="both"/>
        <w:rPr>
          <w:rFonts w:ascii="Calibri" w:eastAsia="Calibri" w:hAnsi="Calibri" w:cs="Calibri"/>
        </w:rPr>
      </w:pPr>
    </w:p>
    <w:p w14:paraId="46D48BF2" w14:textId="7CEDFA63" w:rsidR="0BEB3642" w:rsidRDefault="0BEB3642" w:rsidP="0BEB3642">
      <w:pPr>
        <w:spacing w:line="360" w:lineRule="auto"/>
        <w:jc w:val="both"/>
        <w:rPr>
          <w:rFonts w:ascii="Calibri" w:eastAsia="Calibri" w:hAnsi="Calibri" w:cs="Calibri"/>
        </w:rPr>
      </w:pPr>
    </w:p>
    <w:p w14:paraId="242F5A91" w14:textId="32F48142" w:rsidR="0BEB3642" w:rsidRDefault="0BEB3642" w:rsidP="0BEB3642">
      <w:pPr>
        <w:spacing w:line="360" w:lineRule="auto"/>
        <w:jc w:val="both"/>
        <w:rPr>
          <w:rFonts w:ascii="Calibri" w:eastAsia="Calibri" w:hAnsi="Calibri" w:cs="Calibri"/>
        </w:rPr>
      </w:pPr>
    </w:p>
    <w:p w14:paraId="59B45C44" w14:textId="6A6391A0" w:rsidR="0BEB3642" w:rsidRDefault="0BEB3642" w:rsidP="0BEB3642">
      <w:pPr>
        <w:spacing w:line="360" w:lineRule="auto"/>
        <w:jc w:val="both"/>
        <w:rPr>
          <w:rFonts w:ascii="Calibri" w:eastAsia="Calibri" w:hAnsi="Calibri" w:cs="Calibri"/>
        </w:rPr>
      </w:pPr>
    </w:p>
    <w:p w14:paraId="4793EB32" w14:textId="1B254300" w:rsidR="0BEB3642" w:rsidRDefault="0BEB3642" w:rsidP="0BEB3642">
      <w:pPr>
        <w:spacing w:line="360" w:lineRule="auto"/>
        <w:jc w:val="both"/>
        <w:rPr>
          <w:rFonts w:ascii="Calibri" w:eastAsia="Calibri" w:hAnsi="Calibri" w:cs="Calibri"/>
        </w:rPr>
      </w:pPr>
    </w:p>
    <w:sectPr w:rsidR="0BEB3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25E9F"/>
    <w:multiLevelType w:val="hybridMultilevel"/>
    <w:tmpl w:val="FFFFFFFF"/>
    <w:lvl w:ilvl="0" w:tplc="98D24A00">
      <w:start w:val="1"/>
      <w:numFmt w:val="bullet"/>
      <w:lvlText w:val=""/>
      <w:lvlJc w:val="left"/>
      <w:pPr>
        <w:ind w:left="720" w:hanging="360"/>
      </w:pPr>
      <w:rPr>
        <w:rFonts w:ascii="Symbol" w:hAnsi="Symbol" w:hint="default"/>
      </w:rPr>
    </w:lvl>
    <w:lvl w:ilvl="1" w:tplc="672C7410">
      <w:start w:val="1"/>
      <w:numFmt w:val="bullet"/>
      <w:lvlText w:val="o"/>
      <w:lvlJc w:val="left"/>
      <w:pPr>
        <w:ind w:left="1440" w:hanging="360"/>
      </w:pPr>
      <w:rPr>
        <w:rFonts w:ascii="Courier New" w:hAnsi="Courier New" w:hint="default"/>
      </w:rPr>
    </w:lvl>
    <w:lvl w:ilvl="2" w:tplc="0BAC218E">
      <w:start w:val="1"/>
      <w:numFmt w:val="bullet"/>
      <w:lvlText w:val=""/>
      <w:lvlJc w:val="left"/>
      <w:pPr>
        <w:ind w:left="2160" w:hanging="360"/>
      </w:pPr>
      <w:rPr>
        <w:rFonts w:ascii="Wingdings" w:hAnsi="Wingdings" w:hint="default"/>
      </w:rPr>
    </w:lvl>
    <w:lvl w:ilvl="3" w:tplc="C9DC9C16">
      <w:start w:val="1"/>
      <w:numFmt w:val="bullet"/>
      <w:lvlText w:val=""/>
      <w:lvlJc w:val="left"/>
      <w:pPr>
        <w:ind w:left="2880" w:hanging="360"/>
      </w:pPr>
      <w:rPr>
        <w:rFonts w:ascii="Symbol" w:hAnsi="Symbol" w:hint="default"/>
      </w:rPr>
    </w:lvl>
    <w:lvl w:ilvl="4" w:tplc="7BCA8E98">
      <w:start w:val="1"/>
      <w:numFmt w:val="bullet"/>
      <w:lvlText w:val="o"/>
      <w:lvlJc w:val="left"/>
      <w:pPr>
        <w:ind w:left="3600" w:hanging="360"/>
      </w:pPr>
      <w:rPr>
        <w:rFonts w:ascii="Courier New" w:hAnsi="Courier New" w:hint="default"/>
      </w:rPr>
    </w:lvl>
    <w:lvl w:ilvl="5" w:tplc="E6BC4D06">
      <w:start w:val="1"/>
      <w:numFmt w:val="bullet"/>
      <w:lvlText w:val=""/>
      <w:lvlJc w:val="left"/>
      <w:pPr>
        <w:ind w:left="4320" w:hanging="360"/>
      </w:pPr>
      <w:rPr>
        <w:rFonts w:ascii="Wingdings" w:hAnsi="Wingdings" w:hint="default"/>
      </w:rPr>
    </w:lvl>
    <w:lvl w:ilvl="6" w:tplc="419081A2">
      <w:start w:val="1"/>
      <w:numFmt w:val="bullet"/>
      <w:lvlText w:val=""/>
      <w:lvlJc w:val="left"/>
      <w:pPr>
        <w:ind w:left="5040" w:hanging="360"/>
      </w:pPr>
      <w:rPr>
        <w:rFonts w:ascii="Symbol" w:hAnsi="Symbol" w:hint="default"/>
      </w:rPr>
    </w:lvl>
    <w:lvl w:ilvl="7" w:tplc="ACEC5744">
      <w:start w:val="1"/>
      <w:numFmt w:val="bullet"/>
      <w:lvlText w:val="o"/>
      <w:lvlJc w:val="left"/>
      <w:pPr>
        <w:ind w:left="5760" w:hanging="360"/>
      </w:pPr>
      <w:rPr>
        <w:rFonts w:ascii="Courier New" w:hAnsi="Courier New" w:hint="default"/>
      </w:rPr>
    </w:lvl>
    <w:lvl w:ilvl="8" w:tplc="3668B8D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43B1F4"/>
    <w:rsid w:val="00B36902"/>
    <w:rsid w:val="0BEB3642"/>
    <w:rsid w:val="4743B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3B1F4"/>
  <w15:chartTrackingRefBased/>
  <w15:docId w15:val="{7AFF75D0-AF7F-4FBE-B14B-896F798D3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maeancheta.wordpress.com/" TargetMode="External"/><Relationship Id="rId3" Type="http://schemas.openxmlformats.org/officeDocument/2006/relationships/settings" Target="settings.xml"/><Relationship Id="rId7" Type="http://schemas.openxmlformats.org/officeDocument/2006/relationships/hyperlink" Target="https://genderstereotypescom.wordpress.com/2016/07/23/eliminating-gender-stereotyp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ursehero.com/file/32176385/GD-Group-Case-Conclusiondocx/" TargetMode="External"/><Relationship Id="rId5" Type="http://schemas.openxmlformats.org/officeDocument/2006/relationships/hyperlink" Target="https://brainly.in/question/1273443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853</Words>
  <Characters>4863</Characters>
  <Application>Microsoft Office Word</Application>
  <DocSecurity>0</DocSecurity>
  <Lines>40</Lines>
  <Paragraphs>11</Paragraphs>
  <ScaleCrop>false</ScaleCrop>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Kamsi Nwankwo</dc:creator>
  <cp:keywords/>
  <dc:description/>
  <cp:lastModifiedBy>Kamsi Nwankwo</cp:lastModifiedBy>
  <cp:revision>2</cp:revision>
  <dcterms:created xsi:type="dcterms:W3CDTF">2020-06-30T17:18:00Z</dcterms:created>
  <dcterms:modified xsi:type="dcterms:W3CDTF">2020-06-30T17:18:00Z</dcterms:modified>
</cp:coreProperties>
</file>