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NAME: </w:t>
      </w:r>
      <w:r>
        <w:rPr>
          <w:b w:val="0"/>
          <w:color w:val="auto"/>
          <w:sz w:val="28"/>
          <w:szCs w:val="28"/>
          <w:rFonts w:ascii="NanumGothic" w:eastAsia="NanumGothic" w:hAnsi="NanumGothic" w:cs="NanumGothic"/>
        </w:rPr>
        <w:t xml:space="preserve">IBEZIM EMILY CHIKA </w:t>
      </w:r>
    </w:p>
    <w:p>
      <w:pPr>
        <w:spacing w:lineRule="auto" w:line="259"/>
        <w:rPr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MATRIC NUMBER: </w:t>
      </w:r>
      <w:r>
        <w:rPr>
          <w:b w:val="0"/>
          <w:color w:val="auto"/>
          <w:sz w:val="28"/>
          <w:szCs w:val="28"/>
          <w:rFonts w:ascii="NanumGothic" w:eastAsia="NanumGothic" w:hAnsi="NanumGothic" w:cs="NanumGothic"/>
        </w:rPr>
        <w:t>17/MHS01/143</w:t>
      </w:r>
    </w:p>
    <w:p>
      <w:pPr>
        <w:spacing w:lineRule="auto" w:line="259"/>
        <w:rPr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LEVEL: </w:t>
      </w:r>
      <w:r>
        <w:rPr>
          <w:b w:val="0"/>
          <w:color w:val="auto"/>
          <w:sz w:val="28"/>
          <w:szCs w:val="28"/>
          <w:rFonts w:ascii="NanumGothic" w:eastAsia="NanumGothic" w:hAnsi="NanumGothic" w:cs="NanumGothic"/>
        </w:rPr>
        <w:t xml:space="preserve">300 level</w:t>
      </w:r>
    </w:p>
    <w:p>
      <w:pPr>
        <w:spacing w:lineRule="auto" w:line="259"/>
        <w:rPr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COURSE: </w:t>
      </w:r>
      <w:r>
        <w:rPr>
          <w:b w:val="0"/>
          <w:color w:val="auto"/>
          <w:sz w:val="28"/>
          <w:szCs w:val="28"/>
          <w:rFonts w:ascii="NanumGothic" w:eastAsia="NanumGothic" w:hAnsi="NanumGothic" w:cs="NanumGothic"/>
        </w:rPr>
        <w:t>NEUROANATOMY</w:t>
      </w:r>
    </w:p>
    <w:p>
      <w:pPr>
        <w:spacing w:lineRule="auto" w:line="259"/>
        <w:rPr>
          <w:b w:val="0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COURSE CODE: </w:t>
      </w:r>
      <w:r>
        <w:rPr>
          <w:b w:val="0"/>
          <w:color w:val="auto"/>
          <w:sz w:val="28"/>
          <w:szCs w:val="28"/>
          <w:rFonts w:ascii="NanumGothic" w:eastAsia="NanumGothic" w:hAnsi="NanumGothic" w:cs="NanumGothic"/>
        </w:rPr>
        <w:t xml:space="preserve">ANA 303</w:t>
      </w:r>
    </w:p>
    <w:p>
      <w:pPr>
        <w:spacing w:lineRule="auto" w:line="259"/>
        <w:rPr>
          <w:b w:val="0"/>
          <w:color w:val="auto"/>
          <w:sz w:val="28"/>
          <w:szCs w:val="28"/>
          <w:rFonts w:ascii="NanumGothic" w:eastAsia="NanumGothic" w:hAnsi="NanumGothic" w:cs="NanumGothic"/>
        </w:rPr>
      </w:pPr>
    </w:p>
    <w:p>
      <w:pPr>
        <w:spacing w:lineRule="auto" w:line="259"/>
        <w:rPr>
          <w:b w:val="1"/>
          <w:color w:val="auto"/>
          <w:sz w:val="28"/>
          <w:szCs w:val="28"/>
          <w:u w:val="single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u w:val="single"/>
          <w:rFonts w:ascii="NanumGothic" w:eastAsia="NanumGothic" w:hAnsi="NanumGothic" w:cs="NanumGothic"/>
        </w:rPr>
        <w:t>QUESTION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Write a concise review on the developmental genetics of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cerebellum and highlight the genetic bases of known cerebellar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disorders.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singl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single"/>
          <w:rFonts w:ascii="NanumGothic" w:eastAsia="NanumGothic" w:hAnsi="NanumGothic" w:cs="NanumGothic"/>
        </w:rPr>
        <w:t xml:space="preserve">DEVELOPMENTAL GENETICS OF THE CEREBELLUM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Developmental genetics is the study of how genes control growth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development of organisms 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this case however, developmental genetics of the cerebellum is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study of how genes control the growth and development of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cerebellum.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mature cerebellum has exquisite, stereotypical morphology,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foliation, and lamination, which are consistent between individuals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highly conserved across vertebrates. At the cellular level, unlike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other regions of the CNS, the cerebellum is composed of very few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neuronal types, each with distinct morphology, arranged in discrete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lamina, and connected in stereotypical circuits. The cerebellum has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essential roles in motor coordination, but is not essential for viability.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Thus, compared with other regions of the central nervous system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(CNS) the cerebellum has been more amenable to genetic studies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since disruptions in development, which lead to abnormal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morphology or function, are readily observed in obvious neurological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behavioral phenotypes. Because of this, it has been possible to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obtain a precise understanding of cerebellar development. 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To discover genes influencing cerebellum development, we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conducted a complex trait analysis of variation in the size of the adult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mouse cerebellum. We analyzed two sets of recombinant inbred BXD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strains and an F2 intercross of the common inbred strains, C57BL/6J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DBA/2J. We measured cerebellar size as the weight or volume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fixed or histologically processed tissue. Among BXD recombinant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inbred strains, the cerebellum averages 52 mg (12.4% of the brain)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ranges 18 mg in size. In F2 mice, the cerebellum averages 62 mg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(12.9% of the brain) and ranges ∼20 mg in size. Five quantitative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trait loci (QTLs) that significantly control variation in cerebellar size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were mapped to chromosomes 1 (Cbs1a), 8 (Cbs8a), 14 (Cbs14a),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19 (Cbs19a,Cbs19b). In combination, these QTLs can shift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size an appreciable 35% of the observed range. To assess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regional genetic control of the cerebellum, we also measured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volume of the cell-rich, internal granule layer (IGL) in a set of BXD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strains. The IGL ranges from 34 to 43% of total cerebellar volume.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QTLCbs8a is significantly linked to variation in IGL volume and is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suggestively linked to variation in the number of cerebellar folia.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QTLs we have discovered are among the first loci shown to modulate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size and architecture of the adult mouse cerebellum.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cerebellum is an ideal structure in which to study molecular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genetic networks controlling morphogenesis in the CNS. Its laminar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cytoarchitecture and modular structure facilitate the study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developmental compartments (Herrup and Kuemerle, 1997),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effects of single-gene mutations (Goldowitz and Eisenman, 1992;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Heintz and Zoghbi, 2000), and normal individual differences (Inouye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Oda, 1980; Neumann et al., 1990; Cooper et al., 1991; Wahlsten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Andison, 1991, 1993). The networks of genes that are critical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development are beginning to be identified (Goldowitz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Hamre, 1998; Oberdick et al., 1998). For example, Yang et al. (1999)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recently reported a convincing dependence on Zipro1 gene dosage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for granule cell number and folial patterning in the mouse cerebellum.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Relatively subtle quantitative effects on cerebellar size and foliation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have also been well demonstrated for Engrailed-2 null mice (Joyner et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al., 1991; Millen et al., 1994; Kuemerle et al., 1997). Null mutant,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induced expression, or other transgenic technologies are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indispensable for molecular dissection of cerebellar development. It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remains unknown whether these (or other) early patterning genes are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responsible for normal differences between inbred mice, wild mouse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populations, or larger species differences. We might expect early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patterning genes to be fixed within species and that later acting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genes tolerate the polymorphisms that realize individual differences.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Recent advances in quantitative genetics allow neurogeneticists to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systematically identify the polymorphic gene loci that, in concert with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environmental influences, generate quantitative variation. This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forward genetic approach, i.e., from trait to gene, initially involves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associating differences in alleles near defined marker loci with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differences in the relevant trait. A strong statistical association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indicates the location and effect size of a quantitative trait locus (QTL)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(Darvasi, 1998; Williams, 2000). In one of the first studies of gene loci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affecting normal strain differences in the mouse CNS, Neumann et al.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(1993) reported three loci that have quantitative effects on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number of cerebellar fissures in mice derived from the C57BL/6J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DBA/2J inbred strains. Most recently, in the NZB/BINJ and C57BL/6By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inbred strains, LeRoy-Duflos (2001) identified seven loci affecting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presence or absence of the declival and intraculminate cerebellar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fissures. Furthermore, LeRoy-Duflos (2001) colocalized one of these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gene loci with a measure of motor coordination, illustrating a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potentially powerful approach to investigate possible causal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relationships between CNS structure and function. By taking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advantage of differences between normal strains of mice, we have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recently mapped gene loci that modulate numbers of neurons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mouse retina (Strom and Williams, 1998; Williams et al., 1998),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olfactory bulb weight (Williams et al., 2001), and hippocampus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weight and internal architecture (Lu et al., 2001).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the present study we have initiated a neurogenetic analysis of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normal adult mouse cerebellum. Using experimental crosses of mice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derived from C57BL/6J and DBA/2J inbred strains, we have started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our analysis by first considering genes that affect total cerebellar size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the size of the cell-rich internal granule layer. We demonstrate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that differences in cerebellar anatomy are generated in part by a set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of five QTLs with relatively large effects that map to chromosomes 1,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8, 14, and 19.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MATERIALS AND METHODS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Mice. Three complementary sets of mice were used in this study (n =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514). These included two sets of BXD recombinant inbred (RI) strains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a set of F2 progeny. The RI strains and F2 progeny were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generated from the inbred strains C57BL/6J (B for short) and DBA/2J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(D for short). RI mice are inbred lines derived from brother–sister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matings starting from an F2 intercross. In general, RI strains, when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compared with F2 mice, provide lower power but increased mapping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resolution for QTL detection. This is because RI sets are small (usually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&lt;30 strains) but harbor 3.5–4 times as many recombination events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compared with F2 mice. Because they are inbred, RI lines also allow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greater precision in phenotyping. The average of several mice can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represent the mean value for a strain. The BXD RI strains were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generated by Dr. B. A. Taylor (Taylor, 1989; Taylor et al., 1999),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purchased from The Jackson Laboratory (Bar Harbor, ME) from 1994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through 1999 (n = 334). The parental strains used to generate F2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mice were purchased from The Jackson Laboratory. The F2 animals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were generated at the University of Tennessee (UT) by intercrossing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both BDF1 and DBF1 mice as described in Zhou and Williams (1999).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One hundred and five of these F2 mice were BDF2s and 75 were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DBF2s. Mice were maintained at 20–24°C on a 14:10 on:off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photoperiod in a pathogen-free colony at UT. Most animals were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provided with tap water and a 5% fat Agway Prolab 3000 rat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mouse chow ad libitum. The average age of the BXD RI strains was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∼80 d (range, ∼30–300), and that of the F2 mice was 100 d (range,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∼70–160). Both females and males were studied.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Cerebellum. Mice were deeply anesthetized with Avertin (1.25%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2,2,2-tribromoethanol and 0.8% tert-pentyl alcohol in water; 0.8–1.0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ml, i.p.) and weighed to the nearest 0.1 gm. Most mice were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perfused transcardially with 0.1 m PBS followed first by 1.25%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glutaraldehyde and 1.0% paraformaldehyde in 0.1 m PBS and then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by 2.5% glutaraldehyde and 2.0% paraformaldehyde in 0.1 m PBS.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Brains from BXD and F2 mice were dissected from the skull, sectioned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free of the spinal cord and cranial nerves, rolled briefly on tissue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paper, and weighed to the nearest 0.1 mg. All weights were recorded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at room temperature. The cerebellum was dissected free of each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brain by inserting a small knife parallel to the dorsal hindbrain surface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to cut the peduncles. Two persons dissected cerebellar weights from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BXD mice. Technical error was controlled before QTL mapping by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using a covariate term (coded as a dummy or indicator variable).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a second set of BXD mice, brain, cerebellum, and internal granule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layer (IGL) volumes were measured from celloidin-embedded Nissl-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stained sections available from the Mouse Brain Library. Brain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cerebellum volumes were estimated by summing the areas measured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across sections and multiplying the sum by the sampling interval (0.30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mm). This method does not differ significantly from Cavalieri's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method for the number of sections per mouse (&gt;10) measured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(Rosen and Harry, 1990). Measurements were made on slide images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using NIH Image software (developed at the United States National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Institutes of Health). The volume of the internal granule layer was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measured using the density slice feature of NIH Image. As measured,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this volume included the internal granule layer (predominantly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somas of the granule cells) and the adjoining Purkinje cell layer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(somas). Cerebellum and IGL volumes were corrected for differences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tissue shrinkage by dividing by the total brain volume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multiplying by the brain volume expected from the known brain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weight, assuming a uniform brain density of one milligram per cubic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millimeter of fixed tissue.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Genotyping. Genomic DNA from F2 mice was extracted from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spleen using a high salt procedure (Laird et al., 1991). Spleens were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removed under anesthesia just before perfusion. A set of 145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microsatellite loci distributed across all autosomes, and the X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chromosome was typed in the F2 progeny using a modified protocol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ofLove et al. (1990) and Dietrich et al. (1992). Each 10 μl PCR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reaction contained 1× PCR buffer, 1.92 mmMgCl2, 0.25 U of Taq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DNA polymerase, 0.2 mm of each deoxynucleotide, 132 nm of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primers, and 50 ng of genomic DNA. The microsatellite primers were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purchased from Research Genetics (Huntsville, AL). A loading dye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(60% sucrose, 1.0 mm cresol red) was added to the reaction before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PCR (Dietrich et al., 1994). PCRs were performed in 96 well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microtiter plates. A high-stringency touchdown protocol was used to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lower the annealing temperature progressively from 60 to 50°C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2°C steps over the first six cycles (Don et al., 1991). After 30 cycles,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PCR products were run on 2.5% Metaphor agarose gels (FMC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Bioproducts, Rockland, ME), stained with ethidium bromide,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photographed. Genotypes were scored, entered into Microsoft Excel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98, formatted, and exported to Map Manager QT and Map Manager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QTX (Manly and Olson, 1999). A nonredundant set of ∼320 loci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typed for all 35 BXD RI strains was used for analysis, as described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Williams et al. (1998) and Zhou and Williams (1999).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Statistics. Regression analysis was performed to explore and remove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(i.e., statistically control) covariance between cerebellum or IGL size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other variables before QTL mapping. The primary purpose of this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analysis was to provide protection against claiming that a gene effect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is specific to cerebellum or IGL size when the effect is more general,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e.g., a whole brain or body effect. Our variables included cerebellum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weight (in milligrams) or volume (in cubic millimeters), IGL volume (in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cubic millimeters), brain weight (in milligrams) or volume (in cubic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millimeters), body weight (grams), sex, and age (days). The regression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analysis resulted in a set of new brain phenotypes based on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residuals from linear regression models; these “adjusted” phenotypes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were used for gene mapping. A secondary purpose of the regression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analysis was to understand relations between brain phenotypes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factors like sex or age. Regression models were computed with Data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Desk 6.1. Interaction terms were explored in each model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excluded from final models when not significant. Alternatives to this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regression analysis include multiple trait QTL analysis (Jiang and Zeng,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1995) or the use of covariates during single trait QTL analysis (Map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Manager QT manual). We chose single trait QTL analysis because we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were specifically interested in cerebellum QTLs. We chose to control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variance related to factors like brain size, sex, and age before QTL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mapping, because these factors are of independent biological interest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potentially confounding.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Map Manager QT and QTX programs (Manly and Olson, 1999) were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used for QTL mapping. In essence, QTL mapping divides a panel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mice into groups based on their genotypes (e.g., BB orDD in the case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of RI strains and BB,BD, and DD in the case of F2 progeny) at defined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chromosomal loci and compares these groups using a quantitative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phenotype (e.g., cerebellum weight). QTL mapping generally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proceeds from analysis at defined loci (single marker analysis), to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positions inferred between loci (simple interval mapping), and then to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positions inferred between loci but with statistical control for other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loci known to affect the trait (composite interval mapping). Interval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mapping helps to better localize QTLs between markers. Composite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interval mapping helps to understand the independent or incremental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effects of QTLs. By controlling for multiple unlinked QTLs, the power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to detect secondary QTLs may also be increased substantially. In our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genome scans we first mapped our phenotype against genotype data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on a locus-by-locus basis to assess linkage. Loci with log of the odds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ratio (LOD) scores greater than ∼2.8 were considered suggestive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(Lander and Kruglyak, 1995). Chromosomes harboring suggestive loci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were analyzed by simple interval mapping. When more than one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locus was identified, composite interval mapping was used. Map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Manager QT and QTX implement simple and composite interval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mapping using methods described by Haley and Knott (1992).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Genome-wide (experimentwise) significance probabilities for mapped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QTLs were estimated by comparing peak likelihood ratio statistics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(LRSs) (LRS = LOD × 4.6; Liu, 1998) of correctly ordered data sets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with those computed for 10,000 permutations of the phenotype data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(Churchill and Doerge, 1994). Probabilities reported below as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“genome-wide” (PG) reflect correction for multiple tests; other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reported probabilities are comparisonwise. Confidence of QTL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position is given as the 2-LOD support interval that bounds the QTL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with ∼95% confidence (Lynch and Walsh, 1998).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RESULTS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Our results are divided into two parts. The first section describes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normative phenotypic measures and their relation to differences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sex, age, body weight, and brain weight. The second section presents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evidence for QTLs modulating cerebellar size and structure.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size and variation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Parental cerebella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cerebella of C57BL/6J mice are on average 18% larger (F(1,58) =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110; p &lt; 0.0001) than those of DBA/2J mice: 59.6 ± 0.52 mg (n = 36;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15 male, 21 female) versus 50.5 ± 0.73 mg (n = 24; 11 male, 13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female). Male and female mice do not differ in cerebellar weight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within these strains. Despite the significant 18% difference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absolute size, the cerebellum makes up ∼12% of total brain weight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both strains. This contrast highlights the importance of assessing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specificity of gene effects or the need to determine whether loci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affect cerebellar size directly or indirectly (e.g., through brain or body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size).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BXD cerebella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random assortment of multiple alleles at different loci will often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generate much greater differences among RI strains than between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parental strains (Neumann et al., 1993; Lu et al., 2001; Williams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et al., 2001). This is definitely the case for the cerebella of BXD strains.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Weights range from a low of 45.9 ± 1.09 mg in BXD12 to a high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62.5 ± 2.32 mg in BXD5 (Table 1). In a separate sample of BXD mice,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volumes range from 43.1 ± 1.21 mm3 in BXD23 to 62.9 ±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3.55 mm3 in BXD5. Strain distribution patterns for either measure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size do not depart significantly from normality (Kolmogorov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tests), arguing that the strain differences are polygenic in origin (cf.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Williams et al., 1998). The correlation between strain means for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weight and volume is high and significant (r = 0.86; p &lt;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0.0001). Using ANOVA with strain as the single factor, strain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differences are significant for cerebellar weight (R2 =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67.5%;F(33,144) = 9.1; p &lt; 0.0001) and volume (R2 = 51.9%,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F(30,124) = 4.5;p &lt; 0.0001). Using estimates of environmental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genetic influences on cerebellum size from within strain and between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strain variances [0.5VA/(0.5VA+ VE)], the heritability is ∼47%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33% for weight and volume, respectively (Hegmann and Possidente,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1981).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F2 cerebella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average cerebellar weight of 180 F2 mice is 61.5 ± 0.33 mg.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distribution of cerebellar weight in F2 mice is bell-shaped and is not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significantly different from a normal distribution (Kolmogorov test)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(Fig. 2). Cerebellar weight in the F1 mice averages 62.1 ± 0.63 mg (n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= 46). In a single-factor ANOVA with F1, F2, and parental mice,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parental strains differ from each other (Scheffe post hoc test;p &lt;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0.0001), F1 mice differ from D mice (p &lt; 0.0001) but not B mice (p =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0.10), and F1 and F2 mice do not differ significantly (p = 0.80). Using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variances in the isogenic F1 and heterogeneous F2 samples, (VF2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−VF1)/VF2, heritability of cerebellum weight is 23%.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BXD and F2 differences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There are significant differences between the F2 and BXD mice: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weight is on average 10 mg heavier, brain weight is 45 mg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heavier, and body weight is 6.7 gm heavier in F2 mice. The age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sex composition of our samples are also somewhat different. The F2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mice are on average 10 d older, but the age range is comparatively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narrow (66–156 d vs 30–300 d). The F2 sample is 52% female,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whereas the BXD sample is 44% female. The cerebellar weight of F2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cases are still significantly higher (4 mg) after adding covariates for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brain weight, body weight, sex, and age (F(1,344) = 53; p &lt; 0.0001).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increased size of F2 mice likely reflects heterosis of the non-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inbred F2 progeny and F1 maternal superiority (Lynch and Walsh,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1998).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covariate analysis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Sex is not associated with differences in cerebellar size. When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restricted to 19 BXD strains for which both sexes were replicated, no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sex difference is evident (F(1,100) = 0.21; p = 0.65). Sex is also not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 important predictor in either BXD cerebellar volume (F(1,88) =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0.14; p = 0.71; 18 strains) or F2 cerebellar weight (F(1,178) = 0.03; p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= 0.86).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Increased body weight is weakly associated with larger cerebella.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BXD mice, body weight has a correlation of 0.36 with cerebellar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weight (df = 162; p &lt; 0.0001) and 0.34 with cerebellar volume (df =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148; p &lt; 0.0001). In the F2 data set, the correlation is 0.19 (df = 177;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 = 0.014).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Age is also weakly associated with cerebellar size. In BXD mice,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weight correlates 0.27 with age (df = 174;p = 0.0003;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30–300 d; log-transformed), and cerebellar volume correlates 0.19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with age (df = 150; p = 0.01). We did not detect any increase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weight within the more restricted age sample of the F2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mice.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Brain size is strongly associated with cerebellar size. Cerebellar weight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among BXD strains has a correlation of 0.70 with brain weight (df =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176; p &lt; 0.0001); for volume the correlation is 0.53 (df = 153; p &lt;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0.0001). Cerebellar weight in F2 mice has a correlation of 0.72 with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brain weight (df = 178; p &lt; 0.0001).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Adjusted cerebellar size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multiple regression models including sex, body, age, and brain,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only brain size is an important predictor of cerebellum for both BXD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F2 mice. Interactions are not significant. For these reasons,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simple additive models including only brain weight or volume were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used to create a set of adjusted measures for QTL mapping (Table 1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for adjusted BXD measures; Fig. 2 for adjusted F2 measures). Strain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differences are still highly significant even after correction for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differences in brain weight (R2= 80.3%; F(33,144) = 17.78;p &lt;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0.0001) or brain volume (R2 = 45%;F(33,124) = 3.43; p &lt; 0.0001).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Internal granule layer volume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volume of the internal granule layer ranges from a low of 14.5 ±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0.57 mm3 in BXD20 to a high of 23.0 ± 0.20 mm3 in BXD5 (Table1).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As a percentage of cerebellar volume, the IGL ranges from 33.6 ±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2.2% (BXD14) to 42.9 ± 2.9% (BXD22). Strain differences are again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highly significant (R2 = 52%; F(30,124) = 4.42;p &lt; 0.0001).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Heritability for IGL volume is ∼31%. The correlation between strain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means (an estimate of the genetic correlation) for IGL volume and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remaining cerebellum volume (molecular layer, internal white matter,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deep nuclei) is 0.62 (df = 29; p = 0.0002). This correlation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remains significant after variance associated with brain volume is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removed (r = 0.41; df = 29; p = 0.02).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IGL covariate analysis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Sex is not associated with differences in IGL volume. When restricted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to 18 BXD strains for which both sexes are replicated, no sex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difference is evident (F(1,88) = 0.27; p = 0.61). Males and females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are also not different in the volume of the rest of the cerebellum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(F(1,88) = 0.01; p = 0.91).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Body weight is weakly associated with IGL volume (r = 0.17; df = 148;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 = 0.03), but more strongly associated with the rest of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cerebellum (r = 0.36; df = 148; p &lt; 0.0001).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As with body weight, there is a dissociation between the effects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age on IGL volume and the volume of the rest of the cerebellum. Age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(log-transformed) does not correlate with IGL volume (r= 0.05; df =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150; p = 0.50) but does correlate with the remaining cerebellar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volume (r = 0.23; df = 150; p = 0.004).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Larger brains are positively associated with both greater IGL volume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the volume of the rest of the cerebellum. Brain volume is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moderately correlated with IGL volume (r = 0.40; df = 153; p &lt;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0.0001) and with the rest of the cerebellum (r = 0.46; df = 153; p&lt;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0.0001).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Adjusted IGL volume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As was true for cerebellum size, analysis by multiple regression shows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that only brain size significantly predicts IGL volume when sex, body,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age covariates are included. Interactions are not important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predictors. A simple additive model including only brain volume was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again used to create a set of adjusted IGL measures (Table 1).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contrast, the volume of the remainder of the cerebellum is predicted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better by two factors: brain volume (t1,147 = 4.69;p &lt; 0.0001)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body weight (t1,147 = 2.50; p = 0.01). Strain differences are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significant for adjusted IGL volume (R2 = 48%;F(30,124) = 3.8; p &lt;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0.0001) and marginal for the adjusted cerebellar white matter (R2 =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28%;F(30,119) = 1.6; p = 0.05).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QTL mapping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QTLs affecting cerebellar weight in BXD mice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Single marker analysis shows that variation in adjusted cerebellar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weight is associated with the pattern of B and Dalleles at several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microsatellite markers, but linkages to mid-distal chromosome (Chr) 8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distal Chr 1 appear strongest. Simple interval mapping of Chr 8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shows the tightest linkage (LRS = 22.5) to be just distal of D8Mit312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at 45 cM. At this locus, interval mapping estimates 47% of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variance in cerebellar weight is explained, and each B allele is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associated with a decrease of 2.5 mg (Fig. 3A). The genome-wide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significance for this linkage isPG = 0.0006. With control forD8Mit312,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composite interval mapping reveals a secondary QTL near D1Mit150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at 100 cM on Chr 1 (LRS = 15;PG = 0.06). At this locus, 18% of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variance in cerebellar weight is independently explained, and eachB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allele is associated with a decrease of 1.3 mg (Fig.3C). Collectively,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these QTLs control 60% of the variance in adjusted cerebellar weight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among BXD strains. A 6.4 mg difference in weight characterizes BXD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strains with BB (n= 9) or DD (n = 9) alleles at both loci 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DISCUSSION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Synopsis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We have discovered five new QTLs that are the among first normal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gene variants known to modulate the size of the vertebrate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cerebellum. We have named these QTLs Cbs1a, Cbs8a,Cbs14a,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Cbs19a, and Cbs19b. Among BXD recombinant inbred strains,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cerebellum averages 52 mg (12.4% of the brain) and ranges 18 mg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size. The two quantitative trait loci on Chr 1 (2-LOD support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interval 89–102 cM) and Chr 8 (44–53 cM), are responsible for ∼6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mg of this range, a 33% effect size. In C57BL/6J × DBA/2J F2 mice,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cerebellum averages 62 mg (12.9% of the brain) and ranges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size ∼20 mg. Four QTLs on Chrs 1 (81–92 cM), 14 (5–16 cM), and 19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(28–56 cM, 4–21 cM) are responsible for ∼7 mg of this range, a 35%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effect size. In mapping these QTLs, the effects of brain size, sex, age,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body weight on cerebellar size were examined before mapping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statistically controlled when necessary. Apart from brain size,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which accounted for ∼50% of cerebellar weight, we detected no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discernable, independent effects on total cerebellar size for sex, age,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or body weight.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Regional cerebellar effects of Cbs8a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Regional effects of cerebellar size QTLs were explored in BXD strains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by examining the volume of the cell-rich internal granule layer versus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remaining volume. Our measurement of the IGL contained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somas of two of the main cell types in the cerebellum, the Purkinje,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the granule neurons. The remaining cerebellar volume included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molecular layer where granule and Purkinje cells synapse,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internal white matter, and the deep cerebellar nuclei. Although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IGL and remaining cerebellum are genetically correlated, we found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that age and body weight correlated differently with these parts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cerebellum, and we found a difference in the strength of linkage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to the Chr 8 locus Cbs8a. Age and body weight correlated more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strongly with the aggregate volume of the molecular layer, internal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white matter, and deep nuclei than with the volume of the internal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granule layer. BXD strain differences in internal granule layer volume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are more strongly associated with genotypes at Cbs8a(PG = 0.08)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than the volume of the remaining cerebellum (PG = 0.53). This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suggests that the main effect of Cbs8a is on cell population size. This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is consistent with evidence for linkage betweenCbs8a and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number of fissures, in which Dalleles that are associated with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increased IGL volume are also associated with greater numbers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fissures. Although mechanisms of fissure formation are not well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understood, a role for the proliferation of granule cells in fissure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formation has been suggested (Mares and Lodin, 1970), and it has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been noted that overall size of the cerebellum accounts significantly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for fissure number (Wahlsten and Andison, 1991). Over expression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Zipro1 results in increased granule cell proliferation and increased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numbers of intralobular fissures (Yang et al., 1999). Although Cbs8a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is not Zipro1 (which resides on Chr 5), it is tempting to postulate that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it may be a downstream target of Zipro1 or part of a network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whichZipro1 is involved.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Specificity of QTL effects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 difficult problem in correlational analyses is specificity of causation.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For instance, if we mapped cerebellum size without considering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effects of total brain size, we could map genes that do not specifically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affect the cerebellum. In the present study we used residuals from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linear regression models that included brain size covariates. This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improves our ability to map genes with selective effects on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cerebellum. Another approach to the problem of specificity is to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gather many phenotypes from the same mice. For instance, in two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companion studies we report QTLs in BXD and BDF2 mice for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olfactory bulb (Williams et al., 2001) and hippocampus (Lu et al.,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2001). QTLs for olfactory bulb weight were discovered on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chromosomes 4, 6, 11, and 17. QTLs for hippocampus weight were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discovered on chromosomes 1 and 5. Bulb4a on Chr 4 and Hipp1aon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Chr 1 map within the same 2-LOD support intervals as the putative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linkage of cerebellar white matter volume to Chr 4 and the linkage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ofCbs1a to Chr 1, respectively. The linkage ofCbs1a distal Chr 1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reported here is independent of that reported for hippocampus at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Hipp1a by Lu et al. (2001); a linear model predicting F2 weight of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cerebellum fromD1Mit57 remains significant with hippocampus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weight used as a covariate (data not shown). Yet another approach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to the problem of specificity is to gather more refined phenotypes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related to the primary phenotype, as Lu et al. (2001) did for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hippocampal volume, and as we have done for cerebellar volume. Lu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et al. (2001) reported thatHipp1a exhibits shared effects on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volume of the hippocampal complex, the hippocampus proper,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pyramidal cell layer, and the granule cell layer. Hipp1a was also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observed to overlap a previously mapped locus affecting the volume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of the mossy fiber projection to CA3 from granule cells (Lassalle et al.,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1999). In a similar way, by remapping cerebellar folial pattern in BXD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strains (Neumann et al., 1993) with a more complete marker set, not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only did we see the linkages previously reported by Neumann et al.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(1993) on Chrs 5, 7, and 11, but we also discovered thatCbs8a is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linked to the number of fissures (LRS = 8.3;p = 0.005), with D alleles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adding fissures. Thus, DBA/2J alleles at Cbs8a increase cerebellar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weight, cerebellar volume, internal granule layer volume, and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number of cerebellar folia in BXD mice. These observations illustrate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one of the advantages of recombinant inbred strains: data are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cumulative over time and across laboratories. However, they also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illustrate the problem of specificity of QTL action and highlight a need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for improved mapping resources and methods. QTL fine mapping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(Darvasi, 1998), perhaps in combination with multiple trait QTL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mapping methods (Jiang and Zeng, 1995), may help significantly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this regard.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RI strains, F2 intercrosses, and advanced intercrosses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the present study we used recombinant inbred strains derived from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parental strains C57BL/6J and DBA/2J as well as the F2 intercross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progeny. Because both RI and F2 mice used in this study were derived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from the same parental strains, the same alleles are assumed to be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segregating in each mapping panel. However, we detected significant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differences between the 34 BXD strains and our F2 progeny. The F2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progeny had heavier bodies, brains, and cerebella. Such effects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probably reflect heterosis (hybrid vigor). Possibly related to these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phenotypic differences, two of the five QTLs we discovered, those on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Chr 8 and Chr 14, were not detected in both RI and F2 mapping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panels. However, Cbs8a finds support in two separate samples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BXD mice measured for both cerebellar weight and volume. Loci that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are not replicated may also reflect the random assortment of alleles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relatively small samples or a mutation that has occurred in either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C57BL/6J or DBA/2J genomes since creation of the BXD strains in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1970s and 1980s. We are currently investigating a third mapping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panel derived from C57BL/6J and DBA/2J strains. This is an advanced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intercross, created by outbreeding F2 mice. Examining cerebellar size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IGL volume in this panel will allow an additional opportunity to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test the QTLs we have reported here and should reduce significantly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2-LOD support intervals of confirmed QTLs (Darvasi, 1998). Fine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mapping of Cbs8a can alternatively proceed using a recombinant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inbred segregation test (Darvasi, 1998).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Candidate genes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goal of our QTL mapping is to identify genes influencing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development. Once linkage is established, further study can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proceed in three directions that complement the main goal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complex trait analysis (Moisan, 1999; Williams, 2000). First, mapping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can continue with panels designed to reduce the interval containing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QTL, such as with advanced intercross or congenic lines (high-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resolution mapping). Second, the effects of variants in identified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genes near the QTL can be assessed (candidate gene analysis). Third,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phenotype associated with a QTL can be more rigorously defined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or examined during development. For example, in a developmental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analysis Strom and Williams (1998) established that a QTL that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modulates retinal ganglion cell number acts through proliferation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rather than cell death, thereby effectively eliminating the need to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examine candidate genes that engage apoptotic mechanisms. The 2-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LOD support intervals of the QTLs we report here are not yet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sufficiently precise for effective candidate gene analysis, but we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highlight several genes with identified effects on the cerebellum lie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within these intervals.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On chromosome 1, the dreher mutation (dr; 88.2 cM) is known to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have drastic effects on the cerebellum (Sekiguchi et al., 1992). Recent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work reveals dr to be a mutation of the LIM homeodoman protein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Lmx1a, which disrupts development of the roof plate, resulting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part in the loss of granule neurons in the cerebellum (Millonig et al.,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2000). Also on Chr 1 is the retinoid × receptor gene (Rxrg; 88.1 cM).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Retinoic acid receptors are expressed in the cerebellum of the rat,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granule cell loss results from teratogenic effects of the ligand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(Yamamoto et al., 1999).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On chromosome 8, four of the cadherin (Cdh) genes reside within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2-LOD support interval for Cbs8a(Cdh5, 51 cM; Cdh8, 46.5 cM;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Cdh11, 46.5 cM; Cdh16, 50.0 cM). Cadherins are cell adhesion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molecules with widespread morphogenetic effects and are thought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to be important in regionalization of the CNS. Cadherin 8 is expressed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widely in the developing mouse brain and shows a patterned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distribution in the cerebellum (Korematsu and Redies, 1997;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Korematsu et al., 1998). Also on chromosome 8, Cerebellin1 (Kavety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et al., 1994), is highly enriched in the cerebellum (Urade et al., 1991;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Pang et al., 2000), and its levels are decreased in mice that exhibit a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loss of cerebellar granule neurons (Slemmon et al., 1988).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On chromosome 14, both the gene for bone morphogenetic protein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4 (Bmp4; 14 cM) and for bone morphogenetic protein receptor 1A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(Bmpr1a; 13 cM) reside within the 2-LOD interval forCbs14a. Work by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Alder et al. (1999) suggests that bone morphogenetic proteins can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initiate granule cell genesis, and work byIantosca et al. (1999)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suggests that Bmp4 may regulate granule cell number through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inhibition of apoptosis.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Finally, on chromosome 19, both genes for fibroblast growth factor 8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(Fgf8; 45 cM) and Pax2 (43 cM) reside within the 2-LOD interval for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Cbs19a. Both genes are critical to the early development of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cerebellum (Goldowitz and Hamre, 1998). Favor et al. (1996)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Urbanek et al. (1997) showed that inactivation ofPax2 can lead to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loss of the cerebellum and posterior midbrain. Liu et al. (1999) have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more recently showed thatFgf8 regulates the cascade of genes that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transform the hindbrain into cerebellar structures.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confidence intervals for the QTLs we have discovered are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homologous to the following chromosomal regions in humans: Cbs1a: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1q23–43, Cbs8a: 16q12–16q22, Cbs14a: 10q11–23,Cbs19a: 9q13-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q24 and 11q12-q13, Cbs19b: 10q23-qter. The conserved sequence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similarity among mammals makes the likelihood high that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identification of genes that influence cerebellar development in mice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will aid discovery of homologous genes in humans.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singl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single"/>
          <w:rFonts w:ascii="NanumGothic" w:eastAsia="NanumGothic" w:hAnsi="NanumGothic" w:cs="NanumGothic"/>
        </w:rPr>
        <w:t xml:space="preserve">GENETIC BASIS OF KNOWN CEREBELLAR DISORDERS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malformations are now widely diagnosed during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pregnancy and associated with significant morbidity and mortality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newborn period and throughout life. Given the broad range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prognosis and associated medical concerns, a working knowledge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these disorders and their causes is essential for obstetricians,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perinatologists and neonatologists. For clinicians, it is most relevant to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organize cerebellar malformations by their clinical and imaging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features, which then directs additional diagnostic testing, medical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monitoring for associated complications, and counseling about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prognosis, treatment and recurrence risk. Distinguishing genetic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disorders from similar conditions caused by extrinsic factors, such as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infection, stroke, or prematurity, is particularly important to provide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quality patient care. Cerebellar malformations may be classified as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predominantly involving the cerebellum or involving both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cerebellum and brainstem. They may occur in isolation or as part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broader syndromes involving multiple systems. Though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cerebellum has long been recognized for its role in motor co-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ordination, it also shapes the functions of other brain regions,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especially cognition and affect, by processing external sensory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internally generated information to influence neocortical circuit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refinement. Thus, not surprisingly, most cerebellar malformations are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associated with neurodevelopmental issues affecting multiple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domains: motor, communication, cognition, emotional regulation,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executive function. Human cerebellar development begins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around the ninth gestational week and continues beyond birth. This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protracted developmental timeline makes the human cerebellum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particularly vulnerable to insult, especially during 24–40 weeks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gestation, when considerable neurogenesis in the external granule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cell layer results in a five-fold increase in cerebellar size.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Malformations that arise early in development typically affect both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cerebellum and brainstem, whereas, later in development, cerebellar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malformations have less effect on the pons. Here we present some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most frequently occurring and best understood human cerebellar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malformations and their genetic causes.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1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Specific malformations with known genetic causes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Predominantly cerebellar malformations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 malformed cerebellum may be abnormally small, dysplastic, or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unusually large. The vermis and both hemispheres may be equally or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disproportionately affected. Primary malformations of the pons,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midbrain, and supratentorial structures are also seen in a substantial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subset of patients. The wide range in morphological presentations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results from the diversity of causes, including chromosomal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abnormalities, specific genetic syndromes, and extrinsic factors.     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Dandy–Walker malformation Dandy–Walker malformation (MIM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220200) is a heterogeneous disorder defined by a hypoplastic,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upwardly rotated vermis, an enlarged fourth ventricle, and an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enlarged posterior fossa with an elevated confluence of sinuses.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Typically, the cerebellar hemispheres are less affected than the vermis,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the brainstem is normal to moderately hypoplastic. DWM can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occur with additional brain abnormalities including agenesis of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corpus callosum (ACC) and hydrocephalus, but more often it occurs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as an isolated brain-imaging finding. The clinical features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developmental outcomes vary widely. Patients may exhibit symptoms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ranging from intellectual disability to autism or they may be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completely unaware of any deficits until diagnosed as adults for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unrelated reasons. The recurrence risk in isolated DWM is low at an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estimated 1–5%, suggesting de-novo, somatic mosaic, or complex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genetic causes.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Few genes have been implicated in rare cases of DWM, including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genomic imbalances that are part of a congenital syndrome and rare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single gene disorders [5–8]. FOXC1-related DWM is associated with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multiple congenital anomalies, especially eye malformations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consistent with Axenfeld–Rieger syndrome [6]. Congenital anomalies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associated with FOXC1-related DWM in severely affected patients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overlap with Ritscher–Schinzel, or 3C (cranio-cerebello-cardiac)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syndrome. Recently, mutations in CCDC22 were found in X-linked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cases of 3C syndrome, suggesting that CCDC22 mutations may be a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new cause of DWM. Though these patients were noted to have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DWM, limited neuroimaging data were reported to substantiate this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diagnosis. ZIC1/4-related DWM is also associated with multiple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congenital anomalies, including dysmorphic facial features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abnormal development of the eyelids. Recently, exome sequencing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identified autosomal dominant mutations in LAMC1 and NID1 as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cause of DWM with encephalocele in two families. Despite these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genetic advances, the genetic cause remains unknown in the majority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of DWM patients.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Case reports and small case-series also suggest that extrinsic factors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may contribute to DWM. For example, serial fetal prenatal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neuroimaging identified evidence of prenatal hemorrhage above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cerebellum in a patient postnatally diagnosed with DWM. Two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comprehensive population-based studies suggest that clomiphene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citrate exposure and twinning may be additional non-genetic risk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factors for DWM. Additional rigorous studies are needed to assess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prenatal risk factors for DWM.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hypoplasia 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hypoplasia (CH) refers to an underdevelopment of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cerebellum. This category of cerebellar malformation is distinct from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DWM in that it does not involve a concurrent enlargement of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posterior fossa, and almost all individuals exhibit cognitive and motor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impairments. CH is a feature of many different disorders and it is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often a non-specific feature associated with genomic imbalances. CH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is frequently associated with additional brain abnormalities, including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lissencephaly, cortical dysplasia, microcephaly and heterotopia,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pointing to specific genetic causes.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lissencephaly spectrum of brain malformations is caused by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defects in either the reelin pathway or microtubule formation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function. Patients with autosomal recessive mutations in RELN have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pachygyria and an extremely hypoplastic cerebellum with very little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foliation and disproportionate effects on the vermis. Additional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clinical features include profound developmental disability,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microcephaly, sloping forehead, seizures, and congenital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lymphedema. In contrast, patients with autosomal recessive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mutations in VLDLR, a reelin receptor, exhibit mild pachygyria and a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mildly small cerebellum that retains some foliation. Reelin is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transiently expressed by neurons within superficial layers in both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cerebral cortex and cerebellum and regulates radial neuronal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migration.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Mutations in the alpha- and beta-tubulins are a major cause of brain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malformations, especially lissencephaly, pachygyria,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polymicrogyria, collectively referred to as tubulinopathies. Mutations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TUBA1A, TUBA8, TUBB2A, TUBB2B, TUBB3, TUBB4A, and TUBB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are associated with a range of clinical features from isolated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congenital fibrosis of the extraocular muscles to severe intellectual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disability, quadriplegic cerebral palsy, seizures, cranial neuropathies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hydrocephalus. Neuroimaging features include cortical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dysgenesis (lissencephaly or polymicrogyria), malformation of cranial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nerves, and basal ganglia dysplasia, often with cerebellar and pontine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hypoplasia, and defects in the corpus callosum, anterior commissure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internal capsule. Dysmorphic features are infrequently reported,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and, surprisingly, other organ systems are not affected. Most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occurrences are sporadic and due to de-novo mutations, but rare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recurrences have been reported due to germline mosaicism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autosomal recessive inheritance.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Additional genes and extrinsic exposures have been associated with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CH. Mutations in CHD7 account for the majority of patients with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CHARGE syndrome (MIM-214800), characterized by Coloboma,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Heart defects, choanal Atresia, Retardation of growth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development, Genital and Ear abnormalities. Neuroimaging reveals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that more than a third of these patients have a slightly rotated, mildly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to moderately hypoplastic cerebellar vermis, a mildly enlarged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posterior fossa, and abnormal cerebellar hemisphere foliation. CHD7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loss-of-function disrupts critical gene expression in the isthmus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organizer, a transient embryonic structure that directs early cerebellar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development. Mutations in OPHN1 are associated with CH,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ventriculomegaly, intellectual disability, seizures and mildly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dysmorphic facial features that are characteristic in males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occasionally in females. Retinoic acid exposure during early pregnancy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has been associated with severe cerebellar vermis hypoplasia with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variable effects on the hemispheres. Additional clinical features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include microtia, micrognathia, cleft palate, conotruncal heart defects,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thymic defects, and retinal abnormalities.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hyperplasia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hyperplasia, or macrocerebellum, is a rare neuroimaging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finding that occurs in isolation, or is coincident with a variety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neurodevelopmental disorders, including genomic imbalances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specific overgrowth syndromes, including megalencephaly–capillary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malformation (MCAP)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megalencephaly–polydactyly–polymicrogyria–hydrocephalus (MPPH)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(reviewed by Poretti et al. [19]). Recently, significant progress has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been made in understanding the pathophysiology that leads to brain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overgrowth in MCAP/MPPH. Clinical features of MCAP/MPPH include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seizures, capillary malformations, macrocephaly, and polydactyly,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diagnosis is often based on cerebral cortical overgrowth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polymicrogyria. Though cerebellar size is normal at birth, patients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often develop a macrocerebellum with normal posterior fossa size.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This may progress into cerebellar ectopia/Chiari I malformation,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causing clinically associated symptoms (posterior headache,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dysphagia, stridor) and hydrocephalus. It is unknown whether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overgrowth is a feature of generalized brain overgrowth, or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whether there are distinct mechanisms that specifically influence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overgrowth. Most MCAP and MPPH patients have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activating de-novo mutations in PIK3R2 and PIK3CA, respectively,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that result in increased cell growt. Mutations affecting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PI3K–AKT–mTOR pathway are found in a variety of cancers, opening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possibility of using drugs in development for cancer treatment to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reduce brain overgrowth and neurological issues in patients with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MCAP/MPPH.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 Cerebellar dysplasia 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Any part of the cerebellum can be dysplastic, from small focal regions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within one hemisphere to abnormal foliation throughout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cerebellum. Hypoplastic cerebella are frequently also dysmorphic, as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observed in tubulinopathies and cobblestone malformations.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Chudley–McCullough syndrome (CMS; MIM 604213) is an autosomal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recessive disorder in which patients have striking disorganization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inferior cerebellar hemisphere folia and additional brain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abnormalities, including frontal polymicrogyria with subcortical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heterotopia, corpus callosum hypogenesis, and arachnoid cysts.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Clinical presentation includes severe neonatal sensorineural hearing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loss and hydrocephalus that may require shunting in some patients.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Surprisingly, these patients typically are not dysmorphic, lack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additional congenital anomalies, and have relatively mild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developmental problems. CMS is caused by biallelic truncating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mutations in GPSM2 that encodes a GTPase regulator required for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correct orientation of stem cell divisions in multiple tissues.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dysplasia present in CMS is likely due to abnormal cell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division, but the precise mechanism remains unknown.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Poretti–Boltshauser syndrome (PBS; MIM 150320) is characterized by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dysplasia, cysts, and vermis hypoplasia with and without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retinal dystrophy and is caused by mutations in LAMA1. The superior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cerebellar peduncles are long in some patients, though their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appearance differs from the classic molar-tooth appearance that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defines JS. The clinical features of PBS include motor and speech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delay with variable cognitive impact. Finally, cerebellar dysplasia with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cysts is a prominent feature in cobblestone malformations and GPR56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-related brain malformations.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Reference: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fldChar w:fldCharType="begin"/>
      </w:r>
      <w:r>
        <w:instrText xml:space="preserve">HYPERLINK "https://www2.le.ac.uk/projects/vgec/schoolsandcolleges/topics/developmental-genetics"</w:instrText>
      </w:r>
      <w:r>
        <w:fldChar w:fldCharType="separate"/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h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t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t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p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s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: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w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w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w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2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.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l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e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.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a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c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.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u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k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p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r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o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j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e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c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t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s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v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g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e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c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s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c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h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o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o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l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s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a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n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d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c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o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l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l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e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g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e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s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t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o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p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i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c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s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d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e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v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e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l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o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p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m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e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n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t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a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l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-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g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e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n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e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t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i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c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s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fldChar w:fldCharType="end"/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fldChar w:fldCharType="begin"/>
      </w:r>
      <w:r>
        <w:instrText xml:space="preserve">HYPERLINK "https://www.jneurosci.org/content/21/14/5099#page"</w:instrText>
      </w:r>
      <w:r>
        <w:fldChar w:fldCharType="separate"/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h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t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t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p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s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: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w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w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w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.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j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n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e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u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r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o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s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c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i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.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o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r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g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c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o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n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t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e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n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t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2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1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1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4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5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0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9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9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#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p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a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g</w:t>
      </w:r>
      <w:r>
        <w:rPr>
          <w:b w:val="0"/>
          <w:color w:val="0563C1" w:themeColor="hyperlink"/>
          <w:sz w:val="28"/>
          <w:szCs w:val="28"/>
          <w:u w:val="single"/>
          <w:rFonts w:ascii="NanumGothic" w:eastAsia="NanumGothic" w:hAnsi="NanumGothic" w:cs="NanumGothic"/>
        </w:rPr>
        <w:t>e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fldChar w:fldCharType="end"/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https://www.ncbi.nlm.nih.gov/pmc/articles/PMC5035570/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29</Pages>
  <Paragraphs>0</Paragraphs>
  <Words>16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ibezimemily</dc:creator>
  <cp:lastModifiedBy>ibezimemily</cp:lastModifiedBy>
</cp:coreProperties>
</file>