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759EF" w14:textId="79CC9712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15/mhs05/015</w:t>
      </w:r>
      <w:bookmarkStart w:id="0" w:name="_GoBack"/>
      <w:bookmarkEnd w:id="0"/>
    </w:p>
    <w:p w14:paraId="38CC93BD" w14:textId="2F8CD4DD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5C85">
        <w:rPr>
          <w:rFonts w:ascii="Times New Roman" w:hAnsi="Times New Roman" w:cs="Times New Roman"/>
          <w:sz w:val="28"/>
          <w:szCs w:val="28"/>
        </w:rPr>
        <w:t>Olisaemeka</w:t>
      </w:r>
      <w:proofErr w:type="spellEnd"/>
      <w:r w:rsidRPr="00D95C85">
        <w:rPr>
          <w:rFonts w:ascii="Times New Roman" w:hAnsi="Times New Roman" w:cs="Times New Roman"/>
          <w:sz w:val="28"/>
          <w:szCs w:val="28"/>
        </w:rPr>
        <w:t xml:space="preserve"> Gerald Okolo</w:t>
      </w:r>
    </w:p>
    <w:p w14:paraId="3F628065" w14:textId="45188948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QUESTION</w:t>
      </w:r>
    </w:p>
    <w:p w14:paraId="40E47AF5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Write a concise review on the developmental genetics of the cerebellum, and</w:t>
      </w:r>
    </w:p>
    <w:p w14:paraId="184DE1CC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highlight the genetic bases of known cerebellar disorders.</w:t>
      </w:r>
    </w:p>
    <w:p w14:paraId="7EDC0BF3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NB: As usual observe every research or scholarly writing rule.</w:t>
      </w:r>
    </w:p>
    <w:p w14:paraId="5AC355FF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</w:p>
    <w:p w14:paraId="12C7070F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Organs are formed by interactions between cells and tissues. Most often, one</w:t>
      </w:r>
    </w:p>
    <w:p w14:paraId="786681BE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group of cells or tissues cause another group of cells or tissue to change their fate,</w:t>
      </w:r>
    </w:p>
    <w:p w14:paraId="0F8C582D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a process known as INDUCTION.</w:t>
      </w:r>
    </w:p>
    <w:p w14:paraId="161F7D75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The induction process of the cerebellum involves epithelial to mesenchymal</w:t>
      </w:r>
    </w:p>
    <w:p w14:paraId="511CB371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interactions. Theses epithelial cells are joined together in sheets, whereas</w:t>
      </w:r>
    </w:p>
    <w:p w14:paraId="551CC9E5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mesenchymal cells are fibroblastic in appearance and dispersed in extracellular</w:t>
      </w:r>
    </w:p>
    <w:p w14:paraId="4C7A39D8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matrices.</w:t>
      </w:r>
    </w:p>
    <w:p w14:paraId="080A03A4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Cell to cell signaling is essential for induction, for crosstalk between inducing</w:t>
      </w:r>
    </w:p>
    <w:p w14:paraId="033A5AD6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and responding cells, hence these lines of communication are established by</w:t>
      </w:r>
    </w:p>
    <w:p w14:paraId="70BB7651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paracrine interactions, whereby proteins synthesized by one cell diffuse over a</w:t>
      </w:r>
    </w:p>
    <w:p w14:paraId="62B6F291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short distance to interact with other cells.</w:t>
      </w:r>
    </w:p>
    <w:p w14:paraId="1F84A03C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There is a large number of paracrine signaling factors acting as ligands which</w:t>
      </w:r>
    </w:p>
    <w:p w14:paraId="3E03E56E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are also called GDFs. Most are grouped into four families, and members of these</w:t>
      </w:r>
    </w:p>
    <w:p w14:paraId="36857950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same families are used repeatedly to regulate the development and</w:t>
      </w:r>
    </w:p>
    <w:p w14:paraId="398BCF6D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differentiation of organ systems.</w:t>
      </w:r>
    </w:p>
    <w:p w14:paraId="43A14883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Of the four families, the sonic hedgehog is highly expressed in the cerebellum.</w:t>
      </w:r>
    </w:p>
    <w:p w14:paraId="1D67A11C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The sonic hedgehog is a morphogenetic factor which is a master player in</w:t>
      </w:r>
    </w:p>
    <w:p w14:paraId="2B9C68A5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cerebellar patterning and foliation. It also controls the proliferation of progenitors</w:t>
      </w:r>
    </w:p>
    <w:p w14:paraId="2A6741A2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lastRenderedPageBreak/>
        <w:t>in the cerebellum. For example, sonic hedgehog stimulates very strongly, the</w:t>
      </w:r>
    </w:p>
    <w:p w14:paraId="564DA676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proliferation of cerebellar granular neuronal precursors through the induction</w:t>
      </w:r>
    </w:p>
    <w:p w14:paraId="7BF7E90F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and repression of cell cycle regulator genes. In addition, sonic hedgehog</w:t>
      </w:r>
    </w:p>
    <w:p w14:paraId="70B4EFBD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contributes to the development of cerebellar cortex development by promoting</w:t>
      </w:r>
    </w:p>
    <w:p w14:paraId="685E1946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Bergmann glia proliferation.</w:t>
      </w:r>
    </w:p>
    <w:p w14:paraId="7CFC76C1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</w:p>
    <w:p w14:paraId="7C64D2A1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Sonic hedgehog pathway, involves the GLI family of transcription factors. The</w:t>
      </w:r>
    </w:p>
    <w:p w14:paraId="42F168E4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binding of sonic hedgehog to trans membrane receptor Patched 1 triggers a</w:t>
      </w:r>
    </w:p>
    <w:p w14:paraId="4251DD27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cascade of events tuning cAMP production. (cholesterol is the activator of sonic</w:t>
      </w:r>
    </w:p>
    <w:p w14:paraId="599DF157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hedgehog)</w:t>
      </w:r>
    </w:p>
    <w:p w14:paraId="1B407E16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The extracellular matrix undergoes a substantial remodeling during cerebellar</w:t>
      </w:r>
    </w:p>
    <w:p w14:paraId="1431BF8D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development providing cues for division or differentiation according to its</w:t>
      </w:r>
    </w:p>
    <w:p w14:paraId="538E487B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content. Laminin and heparin sulfate proteoglycans increase the mitogenic effects</w:t>
      </w:r>
    </w:p>
    <w:p w14:paraId="147F82BC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of sonic hedgehog.</w:t>
      </w:r>
    </w:p>
    <w:p w14:paraId="7AC716EC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Sonic hedgehog pathway is also controlled by negative regulators, such as PACAP</w:t>
      </w:r>
    </w:p>
    <w:p w14:paraId="42C75784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(Pituitary adenylate-cyclase activating polypeptide). Sonic hedgehog is also</w:t>
      </w:r>
    </w:p>
    <w:p w14:paraId="74753F7D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deactivated by FGF-2, which triggers the differentiation of neural precursors of</w:t>
      </w:r>
    </w:p>
    <w:p w14:paraId="511184C3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granule cells.</w:t>
      </w:r>
    </w:p>
    <w:p w14:paraId="281F0B7A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GENES INVOLVED IN CEREBELLAR DEVELOPMENT ARE;</w:t>
      </w:r>
    </w:p>
    <w:p w14:paraId="4A080A9B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1) The Engrailed-2 Gene (</w:t>
      </w:r>
      <w:proofErr w:type="spellStart"/>
      <w:r w:rsidRPr="00D95C85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D95C85">
        <w:rPr>
          <w:rFonts w:ascii="Times New Roman" w:hAnsi="Times New Roman" w:cs="Times New Roman"/>
          <w:sz w:val="28"/>
          <w:szCs w:val="28"/>
        </w:rPr>
        <w:t xml:space="preserve"> 2 Gene).</w:t>
      </w:r>
    </w:p>
    <w:p w14:paraId="318BBA7F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The engrailed (</w:t>
      </w:r>
      <w:proofErr w:type="spellStart"/>
      <w:r w:rsidRPr="00D95C85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D95C8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95C85">
        <w:rPr>
          <w:rFonts w:ascii="Times New Roman" w:hAnsi="Times New Roman" w:cs="Times New Roman"/>
          <w:sz w:val="28"/>
          <w:szCs w:val="28"/>
        </w:rPr>
        <w:t>homebox</w:t>
      </w:r>
      <w:proofErr w:type="spellEnd"/>
      <w:r w:rsidRPr="00D95C85">
        <w:rPr>
          <w:rFonts w:ascii="Times New Roman" w:hAnsi="Times New Roman" w:cs="Times New Roman"/>
          <w:sz w:val="28"/>
          <w:szCs w:val="28"/>
        </w:rPr>
        <w:t xml:space="preserve"> transcription factor family is critical for the</w:t>
      </w:r>
    </w:p>
    <w:p w14:paraId="587E59F9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patterning of cerebellar lobules and for Purkinje cells protein stripes.</w:t>
      </w:r>
    </w:p>
    <w:p w14:paraId="024E9C5F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2) Math1.</w:t>
      </w:r>
    </w:p>
    <w:p w14:paraId="1CD1A61B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The specification and differentiation of glutamatergic lineages is</w:t>
      </w:r>
    </w:p>
    <w:p w14:paraId="31DE1920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 xml:space="preserve">dependent upon Math1, a critical transcription factor of the </w:t>
      </w:r>
      <w:proofErr w:type="spellStart"/>
      <w:r w:rsidRPr="00D95C85">
        <w:rPr>
          <w:rFonts w:ascii="Times New Roman" w:hAnsi="Times New Roman" w:cs="Times New Roman"/>
          <w:sz w:val="28"/>
          <w:szCs w:val="28"/>
        </w:rPr>
        <w:t>bHLH</w:t>
      </w:r>
      <w:proofErr w:type="spellEnd"/>
      <w:r w:rsidRPr="00D95C85">
        <w:rPr>
          <w:rFonts w:ascii="Times New Roman" w:hAnsi="Times New Roman" w:cs="Times New Roman"/>
          <w:sz w:val="28"/>
          <w:szCs w:val="28"/>
        </w:rPr>
        <w:t xml:space="preserve"> class. It is</w:t>
      </w:r>
    </w:p>
    <w:p w14:paraId="3076BDC3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lastRenderedPageBreak/>
        <w:t>critical for the proper development of the granular layer of the cerebellum.</w:t>
      </w:r>
    </w:p>
    <w:p w14:paraId="565AB336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3) Ptf1a and Ascl1.</w:t>
      </w:r>
    </w:p>
    <w:p w14:paraId="709A027E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Pancreatic Transcription factor 1a (Ptf1a);</w:t>
      </w:r>
    </w:p>
    <w:p w14:paraId="5F5EA0D8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 xml:space="preserve">- Helps in the development of Purkinje cells and </w:t>
      </w:r>
      <w:proofErr w:type="spellStart"/>
      <w:r w:rsidRPr="00D95C85">
        <w:rPr>
          <w:rFonts w:ascii="Times New Roman" w:hAnsi="Times New Roman" w:cs="Times New Roman"/>
          <w:sz w:val="28"/>
          <w:szCs w:val="28"/>
        </w:rPr>
        <w:t>gabaergic</w:t>
      </w:r>
      <w:proofErr w:type="spellEnd"/>
      <w:r w:rsidRPr="00D95C85">
        <w:rPr>
          <w:rFonts w:ascii="Times New Roman" w:hAnsi="Times New Roman" w:cs="Times New Roman"/>
          <w:sz w:val="28"/>
          <w:szCs w:val="28"/>
        </w:rPr>
        <w:t xml:space="preserve"> interneurons.</w:t>
      </w:r>
    </w:p>
    <w:p w14:paraId="4C4D6F16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-Climbing fiber neurons are derived from the Ptfl1a domain.</w:t>
      </w:r>
    </w:p>
    <w:p w14:paraId="51AB790E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These climbing fiber neurons then mature, migrate and differentiate</w:t>
      </w:r>
    </w:p>
    <w:p w14:paraId="3A4FF4AA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causing the formation of olivary nucleus.</w:t>
      </w:r>
    </w:p>
    <w:p w14:paraId="2869EAC9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-Ptf1a is also involved in the control of fate and survival of neurons during</w:t>
      </w:r>
    </w:p>
    <w:p w14:paraId="0260F05F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development.</w:t>
      </w:r>
    </w:p>
    <w:p w14:paraId="5BF22DB3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Ascl1;</w:t>
      </w:r>
    </w:p>
    <w:p w14:paraId="74D006EA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Directs ventricular neuroepithelium progenitors toward inhibitory neuron</w:t>
      </w:r>
    </w:p>
    <w:p w14:paraId="6BA63C83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fate and suppress astrocytic differentiation.</w:t>
      </w:r>
    </w:p>
    <w:p w14:paraId="636C5105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</w:p>
    <w:p w14:paraId="4D6D0827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D95C85">
        <w:rPr>
          <w:rFonts w:ascii="Times New Roman" w:hAnsi="Times New Roman" w:cs="Times New Roman"/>
          <w:sz w:val="28"/>
          <w:szCs w:val="28"/>
        </w:rPr>
        <w:t>Rora</w:t>
      </w:r>
      <w:proofErr w:type="spellEnd"/>
      <w:r w:rsidRPr="00D95C85">
        <w:rPr>
          <w:rFonts w:ascii="Times New Roman" w:hAnsi="Times New Roman" w:cs="Times New Roman"/>
          <w:sz w:val="28"/>
          <w:szCs w:val="28"/>
        </w:rPr>
        <w:t xml:space="preserve"> (Retinoic- Acid- Related Orphan Receptor Alpha) Gene.</w:t>
      </w:r>
    </w:p>
    <w:p w14:paraId="6ADEAA1D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5C85">
        <w:rPr>
          <w:rFonts w:ascii="Times New Roman" w:hAnsi="Times New Roman" w:cs="Times New Roman"/>
          <w:sz w:val="28"/>
          <w:szCs w:val="28"/>
        </w:rPr>
        <w:t>Rora</w:t>
      </w:r>
      <w:proofErr w:type="spellEnd"/>
      <w:r w:rsidRPr="00D95C85">
        <w:rPr>
          <w:rFonts w:ascii="Times New Roman" w:hAnsi="Times New Roman" w:cs="Times New Roman"/>
          <w:sz w:val="28"/>
          <w:szCs w:val="28"/>
        </w:rPr>
        <w:t xml:space="preserve"> belongs to the steroid-thyroid hormone receptor superfamily. Its</w:t>
      </w:r>
    </w:p>
    <w:p w14:paraId="7B311497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endogenous ligand is cholesterol which is abundantly present in each cell.</w:t>
      </w:r>
    </w:p>
    <w:p w14:paraId="24EFE103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5C85">
        <w:rPr>
          <w:rFonts w:ascii="Times New Roman" w:hAnsi="Times New Roman" w:cs="Times New Roman"/>
          <w:sz w:val="28"/>
          <w:szCs w:val="28"/>
        </w:rPr>
        <w:t>Rora</w:t>
      </w:r>
      <w:proofErr w:type="spellEnd"/>
      <w:r w:rsidRPr="00D95C85">
        <w:rPr>
          <w:rFonts w:ascii="Times New Roman" w:hAnsi="Times New Roman" w:cs="Times New Roman"/>
          <w:sz w:val="28"/>
          <w:szCs w:val="28"/>
        </w:rPr>
        <w:t xml:space="preserve"> is a transcription factor encoding a retinoid like nuclear receptor</w:t>
      </w:r>
    </w:p>
    <w:p w14:paraId="2198092F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which is highly expressed in the cerebellum, plays a pivotal role in its</w:t>
      </w:r>
    </w:p>
    <w:p w14:paraId="60A5026D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 xml:space="preserve">development. </w:t>
      </w:r>
      <w:proofErr w:type="spellStart"/>
      <w:r w:rsidRPr="00D95C85">
        <w:rPr>
          <w:rFonts w:ascii="Times New Roman" w:hAnsi="Times New Roman" w:cs="Times New Roman"/>
          <w:sz w:val="28"/>
          <w:szCs w:val="28"/>
        </w:rPr>
        <w:t>Rora</w:t>
      </w:r>
      <w:proofErr w:type="spellEnd"/>
      <w:r w:rsidRPr="00D95C85">
        <w:rPr>
          <w:rFonts w:ascii="Times New Roman" w:hAnsi="Times New Roman" w:cs="Times New Roman"/>
          <w:sz w:val="28"/>
          <w:szCs w:val="28"/>
        </w:rPr>
        <w:t xml:space="preserve"> functions extend beyond development, it also protects</w:t>
      </w:r>
    </w:p>
    <w:p w14:paraId="355AEBD6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neurons against oxidative stress and shows an anti-inflammatory action by</w:t>
      </w:r>
    </w:p>
    <w:p w14:paraId="7C163B38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inhibiting the NF- kappa- beta pathway.</w:t>
      </w:r>
    </w:p>
    <w:p w14:paraId="7BEAC24F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KNOWN CEREBELLAR DISORDERS.</w:t>
      </w:r>
    </w:p>
    <w:p w14:paraId="782D5159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Deficiency in the genes responsible for the development of the</w:t>
      </w:r>
    </w:p>
    <w:p w14:paraId="7D96BEE3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cerebellum or interruption in the sonic hedgehog signaling pathways lead to</w:t>
      </w:r>
    </w:p>
    <w:p w14:paraId="1B25F889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cerebellar disorders. These disorders are disorders of equilibrium and they are;</w:t>
      </w:r>
    </w:p>
    <w:p w14:paraId="1ABC732B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lastRenderedPageBreak/>
        <w:t>1) Ataxia – Inability to maintain the equilibrium of the body, while standing or</w:t>
      </w:r>
    </w:p>
    <w:p w14:paraId="4A9AF277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walking.</w:t>
      </w:r>
    </w:p>
    <w:p w14:paraId="3554A1C3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D95C85">
        <w:rPr>
          <w:rFonts w:ascii="Times New Roman" w:hAnsi="Times New Roman" w:cs="Times New Roman"/>
          <w:sz w:val="28"/>
          <w:szCs w:val="28"/>
        </w:rPr>
        <w:t>Asynergia</w:t>
      </w:r>
      <w:proofErr w:type="spellEnd"/>
      <w:r w:rsidRPr="00D95C85">
        <w:rPr>
          <w:rFonts w:ascii="Times New Roman" w:hAnsi="Times New Roman" w:cs="Times New Roman"/>
          <w:sz w:val="28"/>
          <w:szCs w:val="28"/>
        </w:rPr>
        <w:t xml:space="preserve"> – Lack of coordination of muscles which also interferes with</w:t>
      </w:r>
    </w:p>
    <w:p w14:paraId="0ACE8A36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purposeful movement. Movements are jerky and lack precision.</w:t>
      </w:r>
    </w:p>
    <w:p w14:paraId="30990153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3) Dysarthria – Incoordination of the muscles responsible for the articulation</w:t>
      </w:r>
    </w:p>
    <w:p w14:paraId="78D4A078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of words leading to characteristic speech defects.</w:t>
      </w:r>
    </w:p>
    <w:p w14:paraId="101D1B33" w14:textId="77777777" w:rsidR="00D95C85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4) Nystagmus – Incoordination of the muscles of the eye, the eyes are</w:t>
      </w:r>
    </w:p>
    <w:p w14:paraId="47A933E4" w14:textId="05E1DE44" w:rsidR="003E778D" w:rsidRPr="00D95C85" w:rsidRDefault="00D95C85" w:rsidP="00D95C85">
      <w:pPr>
        <w:rPr>
          <w:rFonts w:ascii="Times New Roman" w:hAnsi="Times New Roman" w:cs="Times New Roman"/>
          <w:sz w:val="28"/>
          <w:szCs w:val="28"/>
        </w:rPr>
      </w:pPr>
      <w:r w:rsidRPr="00D95C85">
        <w:rPr>
          <w:rFonts w:ascii="Times New Roman" w:hAnsi="Times New Roman" w:cs="Times New Roman"/>
          <w:sz w:val="28"/>
          <w:szCs w:val="28"/>
        </w:rPr>
        <w:t>therefore,</w:t>
      </w:r>
      <w:r w:rsidRPr="00D95C85">
        <w:rPr>
          <w:rFonts w:ascii="Times New Roman" w:hAnsi="Times New Roman" w:cs="Times New Roman"/>
          <w:sz w:val="28"/>
          <w:szCs w:val="28"/>
        </w:rPr>
        <w:t xml:space="preserve"> unable to fix the gaze on an object for any length of time.</w:t>
      </w:r>
    </w:p>
    <w:sectPr w:rsidR="003E778D" w:rsidRPr="00D95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85"/>
    <w:rsid w:val="002E1160"/>
    <w:rsid w:val="00BC6AB6"/>
    <w:rsid w:val="00CD451C"/>
    <w:rsid w:val="00D9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F40FC"/>
  <w15:chartTrackingRefBased/>
  <w15:docId w15:val="{698E03ED-B92C-44AC-AC77-5D6DC8CA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okolo</dc:creator>
  <cp:keywords/>
  <dc:description/>
  <cp:lastModifiedBy>Doc okolo</cp:lastModifiedBy>
  <cp:revision>1</cp:revision>
  <dcterms:created xsi:type="dcterms:W3CDTF">2020-07-13T20:31:00Z</dcterms:created>
  <dcterms:modified xsi:type="dcterms:W3CDTF">2020-07-13T20:32:00Z</dcterms:modified>
</cp:coreProperties>
</file>