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A560" w14:textId="53A8BCF9" w:rsidR="00B86584" w:rsidRDefault="007E2A4E" w:rsidP="007E2A4E">
      <w:pPr>
        <w:jc w:val="right"/>
        <w:rPr>
          <w:rFonts w:ascii="Times New Roman" w:hAnsi="Times New Roman" w:cs="Times New Roman"/>
          <w:sz w:val="24"/>
          <w:szCs w:val="24"/>
        </w:rPr>
      </w:pPr>
      <w:r>
        <w:rPr>
          <w:rFonts w:ascii="Times New Roman" w:hAnsi="Times New Roman" w:cs="Times New Roman"/>
          <w:sz w:val="24"/>
          <w:szCs w:val="24"/>
        </w:rPr>
        <w:t>James Emem Grace</w:t>
      </w:r>
    </w:p>
    <w:p w14:paraId="0B6670E8" w14:textId="33E2E380" w:rsidR="007E2A4E" w:rsidRPr="00332065" w:rsidRDefault="007E2A4E" w:rsidP="007E2A4E">
      <w:pPr>
        <w:jc w:val="right"/>
        <w:rPr>
          <w:rFonts w:ascii="Times New Roman" w:hAnsi="Times New Roman" w:cs="Times New Roman"/>
          <w:sz w:val="24"/>
          <w:szCs w:val="24"/>
        </w:rPr>
      </w:pPr>
      <w:r w:rsidRPr="00332065">
        <w:rPr>
          <w:rFonts w:ascii="Times New Roman" w:hAnsi="Times New Roman" w:cs="Times New Roman"/>
          <w:sz w:val="24"/>
          <w:szCs w:val="24"/>
        </w:rPr>
        <w:t>18/MHS01/192</w:t>
      </w:r>
    </w:p>
    <w:p w14:paraId="223E82DD" w14:textId="529CE0AD" w:rsidR="007E2A4E" w:rsidRPr="00332065" w:rsidRDefault="007E2A4E" w:rsidP="007E2A4E">
      <w:pPr>
        <w:jc w:val="right"/>
        <w:rPr>
          <w:rFonts w:ascii="Times New Roman" w:hAnsi="Times New Roman" w:cs="Times New Roman"/>
          <w:sz w:val="24"/>
          <w:szCs w:val="24"/>
        </w:rPr>
      </w:pPr>
      <w:r w:rsidRPr="00332065">
        <w:rPr>
          <w:rFonts w:ascii="Times New Roman" w:hAnsi="Times New Roman" w:cs="Times New Roman"/>
          <w:sz w:val="24"/>
          <w:szCs w:val="24"/>
        </w:rPr>
        <w:t>Anatomy</w:t>
      </w:r>
    </w:p>
    <w:p w14:paraId="67643F56" w14:textId="6A82B88A" w:rsidR="00332065" w:rsidRPr="00332065" w:rsidRDefault="00332065" w:rsidP="00332065">
      <w:pPr>
        <w:jc w:val="center"/>
        <w:rPr>
          <w:rFonts w:ascii="Times New Roman" w:hAnsi="Times New Roman" w:cs="Times New Roman"/>
          <w:sz w:val="24"/>
          <w:szCs w:val="24"/>
        </w:rPr>
      </w:pPr>
      <w:r w:rsidRPr="00332065">
        <w:rPr>
          <w:rFonts w:ascii="Times New Roman" w:hAnsi="Times New Roman" w:cs="Times New Roman"/>
          <w:sz w:val="24"/>
          <w:szCs w:val="24"/>
        </w:rPr>
        <w:t>ANA 204</w:t>
      </w:r>
    </w:p>
    <w:p w14:paraId="33EE630C" w14:textId="77777777" w:rsidR="00332065" w:rsidRPr="00332065" w:rsidRDefault="00332065" w:rsidP="00332065">
      <w:pPr>
        <w:jc w:val="center"/>
        <w:rPr>
          <w:rFonts w:ascii="Times New Roman" w:hAnsi="Times New Roman" w:cs="Times New Roman"/>
          <w:sz w:val="24"/>
          <w:szCs w:val="24"/>
        </w:rPr>
      </w:pPr>
    </w:p>
    <w:p w14:paraId="0F1E95AF" w14:textId="5C28A89E" w:rsidR="00332065" w:rsidRPr="00332065" w:rsidRDefault="00EA234A" w:rsidP="00332065">
      <w:pPr>
        <w:spacing w:line="480" w:lineRule="auto"/>
        <w:rPr>
          <w:rFonts w:ascii="Times New Roman" w:hAnsi="Times New Roman"/>
          <w:sz w:val="24"/>
          <w:szCs w:val="24"/>
        </w:rPr>
      </w:pPr>
      <w:r w:rsidRPr="00332065">
        <w:rPr>
          <w:rFonts w:ascii="Times New Roman" w:hAnsi="Times New Roman" w:cs="Times New Roman"/>
          <w:b/>
          <w:bCs/>
          <w:sz w:val="24"/>
          <w:szCs w:val="24"/>
        </w:rPr>
        <w:t xml:space="preserve">Ever wondered what the camel does differently than us to survive in the hot environment? </w:t>
      </w:r>
      <w:r w:rsidRPr="00332065">
        <w:rPr>
          <w:rFonts w:ascii="Times New Roman" w:hAnsi="Times New Roman" w:cs="Times New Roman"/>
          <w:sz w:val="24"/>
          <w:szCs w:val="24"/>
          <w:shd w:val="clear" w:color="auto" w:fill="FFFFFF"/>
        </w:rPr>
        <w:t>The camel does have a special kidney and a special GI tract</w:t>
      </w:r>
      <w:r w:rsidR="003C66E8" w:rsidRPr="00332065">
        <w:rPr>
          <w:rFonts w:ascii="Times New Roman" w:hAnsi="Times New Roman" w:cs="Times New Roman"/>
          <w:sz w:val="24"/>
          <w:szCs w:val="24"/>
          <w:shd w:val="clear" w:color="auto" w:fill="FFFFFF"/>
        </w:rPr>
        <w:t xml:space="preserve">. </w:t>
      </w:r>
      <w:r w:rsidRPr="00332065">
        <w:rPr>
          <w:rFonts w:ascii="Times New Roman" w:hAnsi="Times New Roman" w:cs="Times New Roman"/>
          <w:sz w:val="24"/>
          <w:szCs w:val="24"/>
          <w:shd w:val="clear" w:color="auto" w:fill="FFFFFF"/>
        </w:rPr>
        <w:t xml:space="preserve">The camel's kidney actually can concentrate the urine more than sea water but less than a dessert rat.  Since the camel can concentrate the urine more than sea water, salty water intake won't harm the animal. Investigators have studied the structure of the </w:t>
      </w:r>
      <w:proofErr w:type="spellStart"/>
      <w:r w:rsidRPr="00332065">
        <w:rPr>
          <w:rFonts w:ascii="Times New Roman" w:hAnsi="Times New Roman" w:cs="Times New Roman"/>
          <w:sz w:val="24"/>
          <w:szCs w:val="24"/>
          <w:shd w:val="clear" w:color="auto" w:fill="FFFFFF"/>
        </w:rPr>
        <w:t>camelian</w:t>
      </w:r>
      <w:proofErr w:type="spellEnd"/>
      <w:r w:rsidRPr="00332065">
        <w:rPr>
          <w:rFonts w:ascii="Times New Roman" w:hAnsi="Times New Roman" w:cs="Times New Roman"/>
          <w:sz w:val="24"/>
          <w:szCs w:val="24"/>
          <w:shd w:val="clear" w:color="auto" w:fill="FFFFFF"/>
        </w:rPr>
        <w:t xml:space="preserve"> kidney to discover whether or not the anatomical features necessary for producing a highly concentrated urine were present or not. The relative thickness of the medulla was calculated in the </w:t>
      </w:r>
      <w:proofErr w:type="spellStart"/>
      <w:r w:rsidRPr="00332065">
        <w:rPr>
          <w:rFonts w:ascii="Times New Roman" w:hAnsi="Times New Roman" w:cs="Times New Roman"/>
          <w:sz w:val="24"/>
          <w:szCs w:val="24"/>
          <w:shd w:val="clear" w:color="auto" w:fill="FFFFFF"/>
        </w:rPr>
        <w:t>camelian</w:t>
      </w:r>
      <w:proofErr w:type="spellEnd"/>
      <w:r w:rsidRPr="00332065">
        <w:rPr>
          <w:rFonts w:ascii="Times New Roman" w:hAnsi="Times New Roman" w:cs="Times New Roman"/>
          <w:sz w:val="24"/>
          <w:szCs w:val="24"/>
          <w:shd w:val="clear" w:color="auto" w:fill="FFFFFF"/>
        </w:rPr>
        <w:t xml:space="preserve"> kidney as it has been demonstrated that this thickness has a direct relationship with the ability to produce a highly concentrated urine.  A relative thickness of the medulla is a good measure of the length of the loop of Henle which is an indicator of urine concentration. The thickness reported in camels was 7.89 in comparison to the value of 8.5 in kangaroo rats, much more than humans.</w:t>
      </w:r>
      <w:r w:rsidRPr="00332065">
        <w:rPr>
          <w:rFonts w:ascii="Times New Roman" w:hAnsi="Times New Roman" w:cs="Times New Roman"/>
          <w:sz w:val="24"/>
          <w:szCs w:val="24"/>
        </w:rPr>
        <w:br/>
      </w:r>
      <w:r w:rsidRPr="00332065">
        <w:rPr>
          <w:rFonts w:ascii="Times New Roman" w:hAnsi="Times New Roman" w:cs="Times New Roman"/>
          <w:sz w:val="24"/>
          <w:szCs w:val="24"/>
          <w:shd w:val="clear" w:color="auto" w:fill="FFFFFF"/>
        </w:rPr>
        <w:t xml:space="preserve">Also, what happens if you haven't drunk water in 5 days and all of a sudden you re hydrate. A dehydrated camel can replace water within minutes of drinking, and some of this water is quickly absorbed into the bloodstream. With water in the bloodstream, ADH declines and the kidney will return to normal renal function within 30 minutes of drinking. Not only does the camel adopt to scarce water but the kidney can also adopt to rapid dehydration and not lead to </w:t>
      </w:r>
      <w:proofErr w:type="spellStart"/>
      <w:r w:rsidRPr="00332065">
        <w:rPr>
          <w:rFonts w:ascii="Times New Roman" w:hAnsi="Times New Roman" w:cs="Times New Roman"/>
          <w:sz w:val="24"/>
          <w:szCs w:val="24"/>
          <w:shd w:val="clear" w:color="auto" w:fill="FFFFFF"/>
        </w:rPr>
        <w:t>demylination</w:t>
      </w:r>
      <w:proofErr w:type="spellEnd"/>
      <w:r w:rsidRPr="00332065">
        <w:rPr>
          <w:rFonts w:ascii="Times New Roman" w:hAnsi="Times New Roman" w:cs="Times New Roman"/>
          <w:sz w:val="24"/>
          <w:szCs w:val="24"/>
          <w:shd w:val="clear" w:color="auto" w:fill="FFFFFF"/>
        </w:rPr>
        <w:t xml:space="preserve"> of the brain.</w:t>
      </w:r>
      <w:r w:rsidRPr="00332065">
        <w:rPr>
          <w:rFonts w:ascii="Times New Roman" w:hAnsi="Times New Roman" w:cs="Times New Roman"/>
          <w:sz w:val="24"/>
          <w:szCs w:val="24"/>
        </w:rPr>
        <w:br/>
      </w:r>
      <w:r w:rsidRPr="00332065">
        <w:rPr>
          <w:rFonts w:ascii="Times New Roman" w:hAnsi="Times New Roman" w:cs="Times New Roman"/>
          <w:b/>
          <w:bCs/>
          <w:sz w:val="24"/>
          <w:szCs w:val="24"/>
        </w:rPr>
        <w:t>What are some other features this animal has to store water for long periods of time?</w:t>
      </w:r>
      <w:r w:rsidRPr="00332065">
        <w:rPr>
          <w:rFonts w:ascii="Times New Roman" w:hAnsi="Times New Roman" w:cs="Times New Roman"/>
          <w:sz w:val="24"/>
          <w:szCs w:val="24"/>
        </w:rPr>
        <w:br/>
      </w:r>
      <w:r w:rsidRPr="00332065">
        <w:rPr>
          <w:rFonts w:ascii="Times New Roman" w:hAnsi="Times New Roman" w:cs="Times New Roman"/>
          <w:sz w:val="24"/>
          <w:szCs w:val="24"/>
          <w:shd w:val="clear" w:color="auto" w:fill="FFFFFF"/>
        </w:rPr>
        <w:t xml:space="preserve">Another interesting part of the camel physiology is that they have 3 stomachs, acting as storage( </w:t>
      </w:r>
      <w:r w:rsidRPr="00332065">
        <w:rPr>
          <w:rFonts w:ascii="Times New Roman" w:hAnsi="Times New Roman" w:cs="Times New Roman"/>
          <w:sz w:val="24"/>
          <w:szCs w:val="24"/>
          <w:shd w:val="clear" w:color="auto" w:fill="FFFFFF"/>
        </w:rPr>
        <w:lastRenderedPageBreak/>
        <w:t>1.5 gallons per stomach) for the water and hence when water is not available, they can slowly replenish the system. The camel stores water in its blood stream, an interesting physiological process. Capable of losing forty percent of its body's weight before becoming distressed, it is able to go five to seven days before having to drink. The amount it drinks when water is available would cause severe problems in most animals, up to 21 gallons in about 10 minutes.</w:t>
      </w:r>
      <w:r w:rsidR="003C66E8" w:rsidRPr="00332065">
        <w:rPr>
          <w:rFonts w:ascii="Times New Roman" w:hAnsi="Times New Roman" w:cs="Times New Roman"/>
          <w:sz w:val="24"/>
          <w:szCs w:val="24"/>
          <w:shd w:val="clear" w:color="auto" w:fill="FFFFFF"/>
        </w:rPr>
        <w:t xml:space="preserve"> </w:t>
      </w:r>
      <w:r w:rsidRPr="00332065">
        <w:rPr>
          <w:rFonts w:ascii="Times New Roman" w:hAnsi="Times New Roman" w:cs="Times New Roman"/>
          <w:sz w:val="24"/>
          <w:szCs w:val="24"/>
          <w:shd w:val="clear" w:color="auto" w:fill="FFFFFF"/>
        </w:rPr>
        <w:t>The camel's mouth, stomach, and teeth have all developed to allow it to eat plants that are not palatable to other desert animals.</w:t>
      </w:r>
      <w:r w:rsidR="003C66E8" w:rsidRPr="00332065">
        <w:rPr>
          <w:rFonts w:ascii="Times New Roman" w:hAnsi="Times New Roman" w:cs="Times New Roman"/>
          <w:sz w:val="24"/>
          <w:szCs w:val="24"/>
          <w:shd w:val="clear" w:color="auto" w:fill="FFFFFF"/>
        </w:rPr>
        <w:t xml:space="preserve"> </w:t>
      </w:r>
      <w:r w:rsidRPr="00332065">
        <w:rPr>
          <w:rFonts w:ascii="Times New Roman" w:hAnsi="Times New Roman" w:cs="Times New Roman"/>
          <w:sz w:val="24"/>
          <w:szCs w:val="24"/>
          <w:shd w:val="clear" w:color="auto" w:fill="FFFFFF"/>
        </w:rPr>
        <w:t>Contrary to popular myth, the camels don't store water in their humps, its full of fat for food storage.</w:t>
      </w:r>
      <w:r w:rsidR="00332065" w:rsidRPr="00332065">
        <w:rPr>
          <w:rFonts w:ascii="Times New Roman" w:eastAsia="Times New Roman" w:hAnsi="Times New Roman"/>
          <w:color w:val="333333"/>
          <w:sz w:val="24"/>
          <w:szCs w:val="24"/>
        </w:rPr>
        <w:t xml:space="preserve"> </w:t>
      </w:r>
      <w:r w:rsidR="00332065" w:rsidRPr="00332065">
        <w:rPr>
          <w:rFonts w:ascii="Times New Roman" w:eastAsia="Times New Roman" w:hAnsi="Times New Roman"/>
          <w:color w:val="333333"/>
          <w:sz w:val="24"/>
          <w:szCs w:val="24"/>
        </w:rPr>
        <w:t>Longer the Henle's loop, more amount of solute will be reabsorbed and hence more amount of water could be removed from filtrate.</w:t>
      </w:r>
    </w:p>
    <w:p w14:paraId="7DD7633C" w14:textId="236105CF" w:rsidR="007E2A4E" w:rsidRPr="00332065" w:rsidRDefault="007E2A4E" w:rsidP="007E2A4E">
      <w:pPr>
        <w:jc w:val="center"/>
        <w:rPr>
          <w:rFonts w:ascii="Times New Roman" w:hAnsi="Times New Roman" w:cs="Times New Roman"/>
          <w:sz w:val="24"/>
          <w:szCs w:val="24"/>
          <w:shd w:val="clear" w:color="auto" w:fill="FFFFFF"/>
        </w:rPr>
      </w:pPr>
    </w:p>
    <w:p w14:paraId="4A70267E" w14:textId="77777777" w:rsidR="00332065" w:rsidRDefault="00332065" w:rsidP="00332065">
      <w:pPr>
        <w:jc w:val="center"/>
        <w:rPr>
          <w:rFonts w:ascii="Times New Roman" w:eastAsia="Times New Roman" w:hAnsi="Times New Roman" w:cs="Arial"/>
          <w:b/>
          <w:bCs/>
          <w:color w:val="2E2E2E"/>
          <w:sz w:val="24"/>
          <w:szCs w:val="24"/>
          <w:u w:val="single"/>
        </w:rPr>
      </w:pPr>
      <w:r w:rsidRPr="00332065">
        <w:rPr>
          <w:rFonts w:ascii="Times New Roman" w:hAnsi="Times New Roman"/>
          <w:noProof/>
          <w:sz w:val="24"/>
          <w:szCs w:val="24"/>
        </w:rPr>
        <w:drawing>
          <wp:inline distT="0" distB="0" distL="0" distR="0" wp14:anchorId="05D153FA" wp14:editId="3605F9C1">
            <wp:extent cx="3067050" cy="3581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3581400"/>
                    </a:xfrm>
                    <a:prstGeom prst="rect">
                      <a:avLst/>
                    </a:prstGeom>
                    <a:noFill/>
                    <a:ln>
                      <a:noFill/>
                    </a:ln>
                  </pic:spPr>
                </pic:pic>
              </a:graphicData>
            </a:graphic>
          </wp:inline>
        </w:drawing>
      </w:r>
    </w:p>
    <w:p w14:paraId="44B13063" w14:textId="77777777" w:rsidR="00332065" w:rsidRDefault="00332065" w:rsidP="00332065">
      <w:pPr>
        <w:jc w:val="center"/>
        <w:rPr>
          <w:rFonts w:ascii="Times New Roman" w:eastAsia="Times New Roman" w:hAnsi="Times New Roman" w:cs="Arial"/>
          <w:b/>
          <w:bCs/>
          <w:color w:val="2E2E2E"/>
          <w:sz w:val="24"/>
          <w:szCs w:val="24"/>
          <w:u w:val="single"/>
        </w:rPr>
      </w:pPr>
    </w:p>
    <w:p w14:paraId="1F52D88E" w14:textId="77777777" w:rsidR="00332065" w:rsidRDefault="00332065" w:rsidP="00332065">
      <w:pPr>
        <w:jc w:val="center"/>
        <w:rPr>
          <w:rFonts w:ascii="Times New Roman" w:eastAsia="Times New Roman" w:hAnsi="Times New Roman" w:cs="Arial"/>
          <w:b/>
          <w:bCs/>
          <w:color w:val="2E2E2E"/>
          <w:sz w:val="24"/>
          <w:szCs w:val="24"/>
          <w:u w:val="single"/>
        </w:rPr>
      </w:pPr>
    </w:p>
    <w:p w14:paraId="0B6C5601" w14:textId="77777777" w:rsidR="00332065" w:rsidRDefault="00332065" w:rsidP="00332065">
      <w:pPr>
        <w:jc w:val="center"/>
        <w:rPr>
          <w:rFonts w:ascii="Times New Roman" w:eastAsia="Times New Roman" w:hAnsi="Times New Roman" w:cs="Arial"/>
          <w:b/>
          <w:bCs/>
          <w:color w:val="2E2E2E"/>
          <w:sz w:val="24"/>
          <w:szCs w:val="24"/>
          <w:u w:val="single"/>
        </w:rPr>
      </w:pPr>
    </w:p>
    <w:p w14:paraId="724B3F6A" w14:textId="21904CAF" w:rsidR="00332065" w:rsidRDefault="00332065" w:rsidP="00332065">
      <w:pPr>
        <w:jc w:val="center"/>
        <w:rPr>
          <w:rFonts w:ascii="Times New Roman" w:eastAsia="Times New Roman" w:hAnsi="Times New Roman" w:cs="Arial"/>
          <w:b/>
          <w:bCs/>
          <w:color w:val="2E2E2E"/>
          <w:sz w:val="24"/>
          <w:szCs w:val="24"/>
          <w:u w:val="single"/>
        </w:rPr>
      </w:pPr>
      <w:r>
        <w:rPr>
          <w:rFonts w:ascii="Times New Roman" w:eastAsia="Times New Roman" w:hAnsi="Times New Roman" w:cs="Arial"/>
          <w:b/>
          <w:bCs/>
          <w:color w:val="2E2E2E"/>
          <w:sz w:val="24"/>
          <w:szCs w:val="24"/>
          <w:u w:val="single"/>
        </w:rPr>
        <w:lastRenderedPageBreak/>
        <w:t>CLINICAL IMPORTANCE</w:t>
      </w:r>
    </w:p>
    <w:p w14:paraId="02FE8E91" w14:textId="7C8E16A0" w:rsidR="00332065" w:rsidRPr="00332065" w:rsidRDefault="00332065" w:rsidP="00332065">
      <w:pPr>
        <w:rPr>
          <w:rFonts w:ascii="Times New Roman" w:hAnsi="Times New Roman" w:cs="Times New Roman"/>
          <w:sz w:val="24"/>
          <w:szCs w:val="24"/>
          <w:shd w:val="clear" w:color="auto" w:fill="FFFFFF"/>
        </w:rPr>
      </w:pPr>
      <w:r w:rsidRPr="00332065">
        <w:rPr>
          <w:rFonts w:ascii="Times New Roman" w:eastAsia="Times New Roman" w:hAnsi="Times New Roman" w:cs="Arial"/>
          <w:b/>
          <w:bCs/>
          <w:color w:val="2E2E2E"/>
          <w:sz w:val="24"/>
          <w:szCs w:val="24"/>
          <w:u w:val="single"/>
        </w:rPr>
        <w:t>Glomerular Filtration Barrier</w:t>
      </w:r>
      <w:r w:rsidRPr="00332065">
        <w:rPr>
          <w:rFonts w:ascii="Times New Roman" w:eastAsia="Times New Roman" w:hAnsi="Times New Roman" w:cs="Times New Roman"/>
          <w:noProof/>
          <w:sz w:val="24"/>
          <w:szCs w:val="24"/>
          <w:bdr w:val="none" w:sz="0" w:space="0" w:color="auto" w:frame="1"/>
        </w:rPr>
        <w:drawing>
          <wp:inline distT="0" distB="0" distL="0" distR="0" wp14:anchorId="7206F7BA" wp14:editId="2C5AF89B">
            <wp:extent cx="5445749" cy="3019425"/>
            <wp:effectExtent l="0" t="0" r="3175"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9721" cy="3038261"/>
                    </a:xfrm>
                    <a:prstGeom prst="rect">
                      <a:avLst/>
                    </a:prstGeom>
                    <a:noFill/>
                    <a:ln>
                      <a:noFill/>
                    </a:ln>
                  </pic:spPr>
                </pic:pic>
              </a:graphicData>
            </a:graphic>
          </wp:inline>
        </w:drawing>
      </w:r>
    </w:p>
    <w:p w14:paraId="4B4BF87C" w14:textId="77777777" w:rsidR="00332065" w:rsidRDefault="00332065" w:rsidP="00332065">
      <w:pPr>
        <w:pStyle w:val="NormalWeb"/>
        <w:spacing w:before="0" w:beforeAutospacing="0" w:after="0" w:afterAutospacing="0" w:line="480" w:lineRule="auto"/>
        <w:rPr>
          <w:rFonts w:cs="Arial"/>
          <w:color w:val="2E2E2E"/>
        </w:rPr>
      </w:pPr>
      <w:r w:rsidRPr="00332065">
        <w:rPr>
          <w:rFonts w:eastAsia="Times New Roman"/>
          <w:color w:val="3C4043"/>
          <w:shd w:val="clear" w:color="auto" w:fill="FFFFFF"/>
        </w:rPr>
        <w:t xml:space="preserve">The glomerular filtration barrier functions as a highly organized, semipermeable membrane preventing the passage of the majority of proteins into the urine. </w:t>
      </w:r>
      <w:r w:rsidRPr="00332065">
        <w:rPr>
          <w:rFonts w:cs="Arial"/>
          <w:color w:val="000000" w:themeColor="text1"/>
        </w:rPr>
        <w:t>The </w:t>
      </w:r>
      <w:hyperlink r:id="rId8" w:tooltip="Learn more about Glomerular Filtration Barrier from ScienceDirect's AI-generated Topic Pages" w:history="1">
        <w:r w:rsidRPr="00332065">
          <w:rPr>
            <w:rStyle w:val="Hyperlink"/>
            <w:rFonts w:cs="Arial"/>
            <w:color w:val="000000" w:themeColor="text1"/>
          </w:rPr>
          <w:t>glomerular filtration barrier</w:t>
        </w:r>
      </w:hyperlink>
      <w:r w:rsidRPr="00332065">
        <w:rPr>
          <w:rFonts w:cs="Arial"/>
          <w:color w:val="000000" w:themeColor="text1"/>
        </w:rPr>
        <w:t> consists of the fenestrated </w:t>
      </w:r>
      <w:hyperlink r:id="rId9" w:tooltip="Learn more about Endothelium from ScienceDirect's AI-generated Topic Pages" w:history="1">
        <w:r w:rsidRPr="00332065">
          <w:rPr>
            <w:rStyle w:val="Hyperlink"/>
            <w:rFonts w:cs="Arial"/>
            <w:color w:val="000000" w:themeColor="text1"/>
          </w:rPr>
          <w:t>endothelium</w:t>
        </w:r>
      </w:hyperlink>
      <w:r w:rsidRPr="00332065">
        <w:rPr>
          <w:rFonts w:cs="Arial"/>
          <w:color w:val="000000" w:themeColor="text1"/>
        </w:rPr>
        <w:t>, the </w:t>
      </w:r>
      <w:hyperlink r:id="rId10" w:tooltip="Learn more about Glomerulus Basement Membrane from ScienceDirect's AI-generated Topic Pages" w:history="1">
        <w:r w:rsidRPr="00332065">
          <w:rPr>
            <w:rStyle w:val="Hyperlink"/>
            <w:rFonts w:cs="Arial"/>
            <w:color w:val="000000" w:themeColor="text1"/>
          </w:rPr>
          <w:t>glomerular basement membrane</w:t>
        </w:r>
      </w:hyperlink>
      <w:r w:rsidRPr="00332065">
        <w:rPr>
          <w:rFonts w:cs="Arial"/>
          <w:color w:val="000000" w:themeColor="text1"/>
        </w:rPr>
        <w:t>, and the podocyte foot processes, which are connected by a slit-diaphragm. The filtration barrier normally acts to retain protein inside the lumen of the capillaries separate from the urinary space; however,</w:t>
      </w:r>
      <w:r>
        <w:rPr>
          <w:rFonts w:cs="Arial"/>
          <w:color w:val="000000" w:themeColor="text1"/>
        </w:rPr>
        <w:t xml:space="preserve"> defects in the </w:t>
      </w:r>
      <w:hyperlink r:id="rId11" w:tooltip="Learn more about Podocyte from ScienceDirect's AI-generated Topic Pages" w:history="1">
        <w:r>
          <w:rPr>
            <w:rStyle w:val="Hyperlink"/>
            <w:rFonts w:cs="Arial"/>
            <w:color w:val="000000" w:themeColor="text1"/>
          </w:rPr>
          <w:t>podocytes</w:t>
        </w:r>
      </w:hyperlink>
      <w:r>
        <w:rPr>
          <w:rFonts w:cs="Arial"/>
          <w:color w:val="000000" w:themeColor="text1"/>
        </w:rPr>
        <w:t xml:space="preserve"> affecting the feet, tight junction (podocin, </w:t>
      </w:r>
      <w:proofErr w:type="spellStart"/>
      <w:r>
        <w:rPr>
          <w:rFonts w:cs="Arial"/>
          <w:color w:val="000000" w:themeColor="text1"/>
        </w:rPr>
        <w:t>nephrin</w:t>
      </w:r>
      <w:proofErr w:type="spellEnd"/>
      <w:r>
        <w:rPr>
          <w:rFonts w:cs="Arial"/>
          <w:color w:val="000000" w:themeColor="text1"/>
        </w:rPr>
        <w:t>), and the slit diaphragm signalling, actin </w:t>
      </w:r>
      <w:hyperlink r:id="rId12" w:tooltip="Learn more about Cytoskeleton from ScienceDirect's AI-generated Topic Pages" w:history="1">
        <w:r>
          <w:rPr>
            <w:rStyle w:val="Hyperlink"/>
            <w:rFonts w:cs="Arial"/>
            <w:color w:val="000000" w:themeColor="text1"/>
          </w:rPr>
          <w:t>cytoskeleton</w:t>
        </w:r>
      </w:hyperlink>
      <w:r>
        <w:rPr>
          <w:rFonts w:cs="Arial"/>
          <w:color w:val="000000" w:themeColor="text1"/>
        </w:rPr>
        <w:t>, and cell matrix interactions have been identified in</w:t>
      </w:r>
      <w:r>
        <w:rPr>
          <w:rFonts w:cs="Arial"/>
          <w:color w:val="2E2E2E"/>
        </w:rPr>
        <w:t xml:space="preserve"> causing a breakdown of this barrier.</w:t>
      </w:r>
    </w:p>
    <w:p w14:paraId="3C887C19" w14:textId="77777777" w:rsidR="00332065" w:rsidRDefault="00332065" w:rsidP="00332065">
      <w:pPr>
        <w:pStyle w:val="NormalWeb"/>
        <w:spacing w:before="0" w:beforeAutospacing="0" w:after="0" w:afterAutospacing="0" w:line="480" w:lineRule="auto"/>
        <w:rPr>
          <w:rFonts w:cs="Arial"/>
          <w:color w:val="000000" w:themeColor="text1"/>
          <w:vertAlign w:val="superscript"/>
        </w:rPr>
      </w:pPr>
      <w:r>
        <w:rPr>
          <w:rFonts w:cs="Arial"/>
          <w:color w:val="000000" w:themeColor="text1"/>
        </w:rPr>
        <w:t>The </w:t>
      </w:r>
      <w:hyperlink r:id="rId13" w:tooltip="Learn more about Glomerular Filtration Barrier from ScienceDirect's AI-generated Topic Pages" w:history="1">
        <w:r>
          <w:rPr>
            <w:rStyle w:val="Hyperlink"/>
            <w:rFonts w:cs="Arial"/>
            <w:color w:val="000000" w:themeColor="text1"/>
          </w:rPr>
          <w:t>glomerular filtration barrier</w:t>
        </w:r>
      </w:hyperlink>
      <w:r>
        <w:rPr>
          <w:rFonts w:cs="Arial"/>
          <w:color w:val="000000" w:themeColor="text1"/>
        </w:rPr>
        <w:t> has several layers.</w:t>
      </w:r>
      <w:r>
        <w:rPr>
          <w:rFonts w:cs="Arial"/>
          <w:color w:val="000000" w:themeColor="text1"/>
          <w:vertAlign w:val="superscript"/>
        </w:rPr>
        <w:t xml:space="preserve"> </w:t>
      </w:r>
    </w:p>
    <w:p w14:paraId="5B0D96C2" w14:textId="77777777" w:rsidR="00332065" w:rsidRDefault="00332065" w:rsidP="00332065">
      <w:pPr>
        <w:pStyle w:val="NormalWeb"/>
        <w:spacing w:before="0" w:beforeAutospacing="0" w:after="0" w:afterAutospacing="0" w:line="480" w:lineRule="auto"/>
        <w:rPr>
          <w:rFonts w:cs="Arial"/>
          <w:color w:val="000000" w:themeColor="text1"/>
        </w:rPr>
      </w:pPr>
      <w:r>
        <w:rPr>
          <w:rFonts w:cs="Arial"/>
          <w:color w:val="000000" w:themeColor="text1"/>
        </w:rPr>
        <w:t>The first is a </w:t>
      </w:r>
      <w:hyperlink r:id="rId14" w:tooltip="Learn more about Glycocalyx from ScienceDirect's AI-generated Topic Pages" w:history="1">
        <w:r>
          <w:rPr>
            <w:rStyle w:val="Hyperlink"/>
            <w:rFonts w:cs="Arial"/>
            <w:color w:val="000000" w:themeColor="text1"/>
          </w:rPr>
          <w:t>glycocalyx</w:t>
        </w:r>
      </w:hyperlink>
      <w:r>
        <w:rPr>
          <w:rFonts w:cs="Arial"/>
          <w:color w:val="000000" w:themeColor="text1"/>
        </w:rPr>
        <w:t> made up of </w:t>
      </w:r>
      <w:hyperlink r:id="rId15" w:tooltip="Learn more about Proteoglycan from ScienceDirect's AI-generated Topic Pages" w:history="1">
        <w:r>
          <w:rPr>
            <w:rStyle w:val="Hyperlink"/>
            <w:rFonts w:cs="Arial"/>
            <w:color w:val="000000" w:themeColor="text1"/>
          </w:rPr>
          <w:t>proteoglycans</w:t>
        </w:r>
      </w:hyperlink>
      <w:r>
        <w:rPr>
          <w:rFonts w:cs="Arial"/>
          <w:color w:val="000000" w:themeColor="text1"/>
        </w:rPr>
        <w:t> and an adsorbed layer of </w:t>
      </w:r>
      <w:hyperlink r:id="rId16" w:tooltip="Learn more about Blood Proteins from ScienceDirect's AI-generated Topic Pages" w:history="1">
        <w:r>
          <w:rPr>
            <w:rStyle w:val="Hyperlink"/>
            <w:rFonts w:cs="Arial"/>
            <w:color w:val="000000" w:themeColor="text1"/>
          </w:rPr>
          <w:t>plasma proteins</w:t>
        </w:r>
      </w:hyperlink>
      <w:r>
        <w:rPr>
          <w:rFonts w:cs="Arial"/>
          <w:color w:val="000000" w:themeColor="text1"/>
        </w:rPr>
        <w:t> that is located between the </w:t>
      </w:r>
      <w:hyperlink r:id="rId17" w:tooltip="Learn more about Endothelial Cell from ScienceDirect's AI-generated Topic Pages" w:history="1">
        <w:r>
          <w:rPr>
            <w:rStyle w:val="Hyperlink"/>
            <w:rFonts w:cs="Arial"/>
            <w:color w:val="000000" w:themeColor="text1"/>
          </w:rPr>
          <w:t>endothelial cells</w:t>
        </w:r>
      </w:hyperlink>
      <w:r>
        <w:rPr>
          <w:rFonts w:cs="Arial"/>
          <w:color w:val="000000" w:themeColor="text1"/>
        </w:rPr>
        <w:t xml:space="preserve"> and the capillary lumen. </w:t>
      </w:r>
    </w:p>
    <w:p w14:paraId="78263A40" w14:textId="298CE040" w:rsidR="003C66E8" w:rsidRDefault="00332065" w:rsidP="00183FE8">
      <w:pPr>
        <w:pStyle w:val="NormalWeb"/>
        <w:spacing w:before="0" w:beforeAutospacing="0" w:after="0" w:afterAutospacing="0" w:line="480" w:lineRule="auto"/>
        <w:rPr>
          <w:rFonts w:cs="Arial"/>
          <w:color w:val="000000" w:themeColor="text1"/>
        </w:rPr>
      </w:pPr>
      <w:r>
        <w:rPr>
          <w:rFonts w:cs="Arial"/>
          <w:color w:val="000000" w:themeColor="text1"/>
        </w:rPr>
        <w:t>Fenestrated endothelial cells form the next layer. Next is the thick </w:t>
      </w:r>
      <w:hyperlink r:id="rId18" w:tooltip="Learn more about Glomerulus Basement Membrane from ScienceDirect's AI-generated Topic Pages" w:history="1">
        <w:r>
          <w:rPr>
            <w:rStyle w:val="Hyperlink"/>
            <w:rFonts w:cs="Arial"/>
            <w:color w:val="000000" w:themeColor="text1"/>
          </w:rPr>
          <w:t>glomerular basement membrane</w:t>
        </w:r>
      </w:hyperlink>
      <w:r>
        <w:rPr>
          <w:rFonts w:cs="Arial"/>
          <w:color w:val="000000" w:themeColor="text1"/>
        </w:rPr>
        <w:t> (GBM), which is synthesized by </w:t>
      </w:r>
      <w:hyperlink r:id="rId19" w:tooltip="Learn more about Podocyte from ScienceDirect's AI-generated Topic Pages" w:history="1">
        <w:r>
          <w:rPr>
            <w:rStyle w:val="Hyperlink"/>
            <w:rFonts w:cs="Arial"/>
            <w:color w:val="000000" w:themeColor="text1"/>
          </w:rPr>
          <w:t>podocytes</w:t>
        </w:r>
      </w:hyperlink>
      <w:r>
        <w:rPr>
          <w:rFonts w:cs="Arial"/>
          <w:color w:val="000000" w:themeColor="text1"/>
        </w:rPr>
        <w:t xml:space="preserve"> and endothelial cells and has an inner </w:t>
      </w:r>
      <w:r>
        <w:rPr>
          <w:rFonts w:cs="Arial"/>
          <w:color w:val="000000" w:themeColor="text1"/>
        </w:rPr>
        <w:lastRenderedPageBreak/>
        <w:t>layer composed of </w:t>
      </w:r>
      <w:hyperlink r:id="rId20" w:tooltip="Learn more about Collagen Type 4 from ScienceDirect's AI-generated Topic Pages" w:history="1">
        <w:r>
          <w:rPr>
            <w:rStyle w:val="Hyperlink"/>
            <w:rFonts w:cs="Arial"/>
            <w:color w:val="000000" w:themeColor="text1"/>
          </w:rPr>
          <w:t>collagen type IV</w:t>
        </w:r>
      </w:hyperlink>
      <w:r>
        <w:rPr>
          <w:rFonts w:cs="Arial"/>
          <w:color w:val="000000" w:themeColor="text1"/>
        </w:rPr>
        <w:t> and </w:t>
      </w:r>
      <w:hyperlink r:id="rId21" w:tooltip="Learn more about Laminin from ScienceDirect's AI-generated Topic Pages" w:history="1">
        <w:r>
          <w:rPr>
            <w:rStyle w:val="Hyperlink"/>
            <w:rFonts w:cs="Arial"/>
            <w:color w:val="000000" w:themeColor="text1"/>
          </w:rPr>
          <w:t>laminin</w:t>
        </w:r>
      </w:hyperlink>
      <w:r>
        <w:rPr>
          <w:rFonts w:cs="Arial"/>
          <w:color w:val="000000" w:themeColor="text1"/>
        </w:rPr>
        <w:t> sandwiched between layers of heparin sulphate. Podocyte foot processes line the epithelial side of the GBM; the </w:t>
      </w:r>
      <w:hyperlink r:id="rId22" w:tooltip="Learn more about Cell Junction from ScienceDirect's AI-generated Topic Pages" w:history="1">
        <w:r>
          <w:rPr>
            <w:rStyle w:val="Hyperlink"/>
            <w:rFonts w:cs="Arial"/>
            <w:color w:val="000000" w:themeColor="text1"/>
          </w:rPr>
          <w:t>intercellular junctions</w:t>
        </w:r>
      </w:hyperlink>
      <w:r>
        <w:rPr>
          <w:rFonts w:cs="Arial"/>
          <w:color w:val="000000" w:themeColor="text1"/>
        </w:rPr>
        <w:t> between adjacent foot processes are closed by the slit diaphragm, a specialized intercellular junction that acts as a molecular sieve and the final component of the filtration barrier. The slit diaphragm comprises several proteins, including </w:t>
      </w:r>
      <w:proofErr w:type="spellStart"/>
      <w:r>
        <w:fldChar w:fldCharType="begin"/>
      </w:r>
      <w:r>
        <w:instrText xml:space="preserve"> HYPERLINK "https://www.sciencedirect.com/topics/medicine-and-dentistry/nephrin" \o "Learn more about Nephrin from ScienceDirect's AI-generated Topic Pages" </w:instrText>
      </w:r>
      <w:r>
        <w:fldChar w:fldCharType="separate"/>
      </w:r>
      <w:r>
        <w:rPr>
          <w:rStyle w:val="Hyperlink"/>
          <w:rFonts w:cs="Arial"/>
          <w:color w:val="000000" w:themeColor="text1"/>
        </w:rPr>
        <w:t>nephrin</w:t>
      </w:r>
      <w:proofErr w:type="spellEnd"/>
      <w:r>
        <w:fldChar w:fldCharType="end"/>
      </w:r>
      <w:r>
        <w:rPr>
          <w:rFonts w:cs="Arial"/>
          <w:color w:val="000000" w:themeColor="text1"/>
        </w:rPr>
        <w:t>, CD-associated protein (CD2AP), </w:t>
      </w:r>
      <w:hyperlink r:id="rId23" w:tooltip="Learn more about Podocin from ScienceDirect's AI-generated Topic Pages" w:history="1">
        <w:r>
          <w:rPr>
            <w:rStyle w:val="Hyperlink"/>
            <w:rFonts w:cs="Arial"/>
            <w:color w:val="000000" w:themeColor="text1"/>
          </w:rPr>
          <w:t>podocin</w:t>
        </w:r>
      </w:hyperlink>
      <w:r>
        <w:rPr>
          <w:rFonts w:cs="Arial"/>
          <w:color w:val="000000" w:themeColor="text1"/>
        </w:rPr>
        <w:t>, the </w:t>
      </w:r>
      <w:hyperlink r:id="rId24" w:tooltip="Learn more about Protein ZO1 from ScienceDirect's AI-generated Topic Pages" w:history="1">
        <w:r>
          <w:rPr>
            <w:rStyle w:val="Hyperlink"/>
            <w:rFonts w:cs="Arial"/>
            <w:color w:val="000000" w:themeColor="text1"/>
          </w:rPr>
          <w:t>tight junction protein ZO-1</w:t>
        </w:r>
      </w:hyperlink>
      <w:r>
        <w:rPr>
          <w:rFonts w:cs="Arial"/>
          <w:color w:val="000000" w:themeColor="text1"/>
        </w:rPr>
        <w:t xml:space="preserve"> (zonula </w:t>
      </w:r>
      <w:proofErr w:type="spellStart"/>
      <w:r>
        <w:rPr>
          <w:rFonts w:cs="Arial"/>
          <w:color w:val="000000" w:themeColor="text1"/>
        </w:rPr>
        <w:t>occludens</w:t>
      </w:r>
      <w:proofErr w:type="spellEnd"/>
      <w:r>
        <w:rPr>
          <w:rFonts w:cs="Arial"/>
          <w:color w:val="000000" w:themeColor="text1"/>
        </w:rPr>
        <w:t xml:space="preserve"> 1), </w:t>
      </w:r>
      <w:hyperlink r:id="rId25" w:tooltip="Learn more about P Cadherin from ScienceDirect's AI-generated Topic Pages" w:history="1">
        <w:r>
          <w:rPr>
            <w:rStyle w:val="Hyperlink"/>
            <w:rFonts w:cs="Arial"/>
            <w:color w:val="000000" w:themeColor="text1"/>
          </w:rPr>
          <w:t>P-cadherin</w:t>
        </w:r>
      </w:hyperlink>
      <w:r>
        <w:rPr>
          <w:rFonts w:cs="Arial"/>
          <w:color w:val="000000" w:themeColor="text1"/>
        </w:rPr>
        <w:t>, </w:t>
      </w:r>
      <w:proofErr w:type="spellStart"/>
      <w:r>
        <w:fldChar w:fldCharType="begin"/>
      </w:r>
      <w:r>
        <w:instrText xml:space="preserve"> HYPERLINK "https://www.sciencedirect.com/topics/medicine-and-dentistry/catenin" \o "Learn more about Catenin from ScienceDirect's AI-generated Topic Pages" </w:instrText>
      </w:r>
      <w:r>
        <w:fldChar w:fldCharType="separate"/>
      </w:r>
      <w:r>
        <w:rPr>
          <w:rStyle w:val="Hyperlink"/>
          <w:rFonts w:cs="Arial"/>
          <w:color w:val="000000" w:themeColor="text1"/>
        </w:rPr>
        <w:t>catenins</w:t>
      </w:r>
      <w:proofErr w:type="spellEnd"/>
      <w:r>
        <w:fldChar w:fldCharType="end"/>
      </w:r>
      <w:r>
        <w:rPr>
          <w:rFonts w:cs="Arial"/>
          <w:color w:val="000000" w:themeColor="text1"/>
        </w:rPr>
        <w:t>, and the </w:t>
      </w:r>
      <w:hyperlink r:id="rId26" w:tooltip="Learn more about Calcium Channel from ScienceDirect's AI-generated Topic Pages" w:history="1">
        <w:r>
          <w:rPr>
            <w:rStyle w:val="Hyperlink"/>
            <w:rFonts w:cs="Arial"/>
            <w:color w:val="000000" w:themeColor="text1"/>
          </w:rPr>
          <w:t>calcium channel</w:t>
        </w:r>
      </w:hyperlink>
      <w:r>
        <w:rPr>
          <w:rFonts w:cs="Arial"/>
          <w:color w:val="000000" w:themeColor="text1"/>
        </w:rPr>
        <w:t> </w:t>
      </w:r>
      <w:hyperlink r:id="rId27" w:tooltip="Learn more about TRPC6 from ScienceDirect's AI-generated Topic Pages" w:history="1">
        <w:r>
          <w:rPr>
            <w:rStyle w:val="Hyperlink"/>
            <w:rFonts w:cs="Arial"/>
            <w:color w:val="000000" w:themeColor="text1"/>
          </w:rPr>
          <w:t>TRPC6</w:t>
        </w:r>
      </w:hyperlink>
      <w:r>
        <w:rPr>
          <w:rFonts w:cs="Arial"/>
          <w:color w:val="000000" w:themeColor="text1"/>
        </w:rPr>
        <w:t> (transient receptor potential cation channel, subfamily C, member 6), each of which is required for slit diaphragm integrity. Slit diaphragm proteins are supported by the highly dynamic </w:t>
      </w:r>
      <w:hyperlink r:id="rId28" w:tooltip="Learn more about Podocyte from ScienceDirect's AI-generated Topic Pages" w:history="1">
        <w:r>
          <w:rPr>
            <w:rStyle w:val="Hyperlink"/>
            <w:rFonts w:cs="Arial"/>
            <w:color w:val="000000" w:themeColor="text1"/>
          </w:rPr>
          <w:t>podocyte</w:t>
        </w:r>
      </w:hyperlink>
      <w:r>
        <w:rPr>
          <w:rFonts w:cs="Arial"/>
          <w:color w:val="000000" w:themeColor="text1"/>
        </w:rPr>
        <w:t> </w:t>
      </w:r>
      <w:hyperlink r:id="rId29" w:tooltip="Learn more about Actin from ScienceDirect's AI-generated Topic Pages" w:history="1">
        <w:r>
          <w:rPr>
            <w:rStyle w:val="Hyperlink"/>
            <w:rFonts w:cs="Arial"/>
            <w:color w:val="000000" w:themeColor="text1"/>
          </w:rPr>
          <w:t>actin</w:t>
        </w:r>
      </w:hyperlink>
      <w:r>
        <w:rPr>
          <w:rFonts w:cs="Arial"/>
          <w:color w:val="000000" w:themeColor="text1"/>
        </w:rPr>
        <w:t> </w:t>
      </w:r>
      <w:hyperlink r:id="rId30" w:tooltip="Learn more about Cytoskeleton from ScienceDirect's AI-generated Topic Pages" w:history="1">
        <w:r>
          <w:rPr>
            <w:rStyle w:val="Hyperlink"/>
            <w:rFonts w:cs="Arial"/>
            <w:color w:val="000000" w:themeColor="text1"/>
          </w:rPr>
          <w:t>cytoskeleton</w:t>
        </w:r>
      </w:hyperlink>
      <w:r>
        <w:rPr>
          <w:rFonts w:cs="Arial"/>
          <w:color w:val="000000" w:themeColor="text1"/>
        </w:rPr>
        <w:t> that in turn is anchored to an </w:t>
      </w:r>
      <w:hyperlink r:id="rId31" w:tooltip="Learn more about Integrin from ScienceDirect's AI-generated Topic Pages" w:history="1">
        <w:r>
          <w:rPr>
            <w:rStyle w:val="Hyperlink"/>
            <w:rFonts w:cs="Arial"/>
            <w:color w:val="000000" w:themeColor="text1"/>
          </w:rPr>
          <w:t>integrin</w:t>
        </w:r>
      </w:hyperlink>
      <w:r>
        <w:rPr>
          <w:rFonts w:cs="Arial"/>
          <w:color w:val="000000" w:themeColor="text1"/>
        </w:rPr>
        <w:t> complex that fastens each podocyte foot process to the GBM.</w:t>
      </w:r>
    </w:p>
    <w:p w14:paraId="06330577" w14:textId="77777777" w:rsidR="00183FE8" w:rsidRPr="00332065" w:rsidRDefault="00183FE8" w:rsidP="00183FE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w:t>
      </w:r>
      <w:proofErr w:type="spellStart"/>
      <w:r>
        <w:rPr>
          <w:rFonts w:ascii="Times New Roman" w:eastAsia="Times New Roman" w:hAnsi="Times New Roman" w:cs="Times New Roman"/>
          <w:sz w:val="24"/>
          <w:szCs w:val="24"/>
        </w:rPr>
        <w:t>corellate</w:t>
      </w:r>
      <w:proofErr w:type="spellEnd"/>
    </w:p>
    <w:p w14:paraId="6E655835" w14:textId="77777777" w:rsidR="00183FE8" w:rsidRPr="00332065" w:rsidRDefault="00183FE8" w:rsidP="00183FE8">
      <w:pPr>
        <w:pStyle w:val="ListParagraph"/>
        <w:numPr>
          <w:ilvl w:val="0"/>
          <w:numId w:val="3"/>
        </w:numPr>
        <w:spacing w:after="0" w:line="240" w:lineRule="auto"/>
        <w:textAlignment w:val="baseline"/>
        <w:rPr>
          <w:rFonts w:ascii="Times New Roman" w:eastAsia="Times New Roman" w:hAnsi="Times New Roman" w:cs="Times New Roman"/>
          <w:b/>
          <w:bCs/>
          <w:sz w:val="24"/>
          <w:szCs w:val="24"/>
        </w:rPr>
      </w:pPr>
      <w:r w:rsidRPr="00332065">
        <w:rPr>
          <w:rFonts w:ascii="Times New Roman" w:eastAsia="Times New Roman" w:hAnsi="Times New Roman" w:cs="Times New Roman"/>
          <w:b/>
          <w:bCs/>
          <w:sz w:val="24"/>
          <w:szCs w:val="24"/>
          <w:bdr w:val="none" w:sz="0" w:space="0" w:color="auto" w:frame="1"/>
        </w:rPr>
        <w:t>Goodpasture's syndrome</w:t>
      </w:r>
      <w:r w:rsidRPr="00332065">
        <w:rPr>
          <w:rFonts w:ascii="Times New Roman" w:eastAsia="Times New Roman" w:hAnsi="Times New Roman" w:cs="Times New Roman"/>
          <w:b/>
          <w:bCs/>
          <w:sz w:val="24"/>
          <w:szCs w:val="24"/>
        </w:rPr>
        <w:t xml:space="preserve"> </w:t>
      </w:r>
    </w:p>
    <w:p w14:paraId="40F5C903" w14:textId="77777777" w:rsidR="00183FE8" w:rsidRDefault="00183FE8" w:rsidP="00183FE8">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A</w:t>
      </w:r>
      <w:r w:rsidRPr="00332065">
        <w:rPr>
          <w:rFonts w:ascii="Times New Roman" w:eastAsia="Times New Roman" w:hAnsi="Times New Roman" w:cs="Times New Roman"/>
          <w:sz w:val="24"/>
          <w:szCs w:val="24"/>
        </w:rPr>
        <w:t xml:space="preserve">n autoimmune disorder that consists of antibodies against α3 chain of type IV collagen of the basement membrane of both the glomerulus and alveoli </w:t>
      </w:r>
      <w:r w:rsidRPr="00332065">
        <w:rPr>
          <w:rFonts w:ascii="Times New Roman" w:eastAsia="Times New Roman" w:hAnsi="Times New Roman" w:cs="Times New Roman"/>
          <w:sz w:val="24"/>
          <w:szCs w:val="24"/>
        </w:rPr>
        <w:br/>
        <w:t xml:space="preserve">this is categorized as a </w:t>
      </w:r>
      <w:r w:rsidRPr="00332065">
        <w:rPr>
          <w:rFonts w:ascii="Times New Roman" w:eastAsia="Times New Roman" w:hAnsi="Times New Roman" w:cs="Times New Roman"/>
          <w:sz w:val="24"/>
          <w:szCs w:val="24"/>
          <w:bdr w:val="none" w:sz="0" w:space="0" w:color="auto" w:frame="1"/>
        </w:rPr>
        <w:t>type II hypersensitivity reaction</w:t>
      </w:r>
      <w:r>
        <w:rPr>
          <w:rFonts w:ascii="Times New Roman" w:eastAsia="Times New Roman" w:hAnsi="Times New Roman" w:cs="Times New Roman"/>
          <w:b/>
          <w:bCs/>
          <w:sz w:val="24"/>
          <w:szCs w:val="24"/>
        </w:rPr>
        <w:t xml:space="preserve"> </w:t>
      </w:r>
    </w:p>
    <w:p w14:paraId="302D5753" w14:textId="77777777" w:rsidR="00183FE8" w:rsidRDefault="00183FE8" w:rsidP="00183FE8">
      <w:pPr>
        <w:spacing w:after="0" w:line="240" w:lineRule="auto"/>
        <w:textAlignment w:val="baseline"/>
        <w:rPr>
          <w:rFonts w:ascii="Times New Roman" w:eastAsia="Times New Roman" w:hAnsi="Times New Roman" w:cs="Times New Roman"/>
          <w:b/>
          <w:bCs/>
          <w:sz w:val="24"/>
          <w:szCs w:val="24"/>
        </w:rPr>
      </w:pPr>
    </w:p>
    <w:p w14:paraId="567BDFD2" w14:textId="77777777" w:rsidR="00183FE8" w:rsidRPr="00332065" w:rsidRDefault="00183FE8" w:rsidP="00183FE8">
      <w:pPr>
        <w:spacing w:after="0" w:line="240" w:lineRule="auto"/>
        <w:textAlignment w:val="baseline"/>
        <w:rPr>
          <w:rFonts w:ascii="Times New Roman" w:eastAsia="Times New Roman" w:hAnsi="Times New Roman" w:cs="Times New Roman"/>
          <w:b/>
          <w:bCs/>
          <w:sz w:val="24"/>
          <w:szCs w:val="24"/>
        </w:rPr>
      </w:pPr>
      <w:r w:rsidRPr="00332065">
        <w:rPr>
          <w:rFonts w:ascii="Times New Roman" w:eastAsia="Times New Roman" w:hAnsi="Times New Roman" w:cs="Times New Roman"/>
          <w:sz w:val="24"/>
          <w:szCs w:val="24"/>
          <w:bdr w:val="none" w:sz="0" w:space="0" w:color="auto" w:frame="1"/>
        </w:rPr>
        <w:t>epithelial layer</w:t>
      </w:r>
      <w:r w:rsidRPr="00332065">
        <w:rPr>
          <w:rFonts w:ascii="Times New Roman" w:eastAsia="Times New Roman" w:hAnsi="Times New Roman" w:cs="Times New Roman"/>
          <w:sz w:val="24"/>
          <w:szCs w:val="24"/>
        </w:rPr>
        <w:t xml:space="preserve"> contains </w:t>
      </w:r>
      <w:r w:rsidRPr="00332065">
        <w:rPr>
          <w:rFonts w:ascii="Times New Roman" w:eastAsia="Times New Roman" w:hAnsi="Times New Roman" w:cs="Times New Roman"/>
          <w:sz w:val="24"/>
          <w:szCs w:val="24"/>
          <w:bdr w:val="none" w:sz="0" w:space="0" w:color="auto" w:frame="1"/>
        </w:rPr>
        <w:t>podocyte foot processes</w:t>
      </w:r>
      <w:r w:rsidRPr="00332065">
        <w:rPr>
          <w:rFonts w:ascii="Times New Roman" w:eastAsia="Times New Roman" w:hAnsi="Times New Roman" w:cs="Times New Roman"/>
          <w:sz w:val="24"/>
          <w:szCs w:val="24"/>
        </w:rPr>
        <w:t xml:space="preserve"> </w:t>
      </w:r>
    </w:p>
    <w:p w14:paraId="69465EDE" w14:textId="77777777" w:rsidR="00183FE8" w:rsidRDefault="00183FE8" w:rsidP="00183FE8">
      <w:pPr>
        <w:spacing w:after="0" w:line="240" w:lineRule="auto"/>
        <w:textAlignment w:val="baseline"/>
        <w:rPr>
          <w:rFonts w:ascii="Times New Roman" w:eastAsia="Times New Roman" w:hAnsi="Times New Roman" w:cs="Times New Roman"/>
          <w:sz w:val="24"/>
          <w:szCs w:val="24"/>
          <w:bdr w:val="none" w:sz="0" w:space="0" w:color="auto" w:frame="1"/>
        </w:rPr>
      </w:pPr>
    </w:p>
    <w:p w14:paraId="4BB253D9" w14:textId="77777777" w:rsidR="00183FE8" w:rsidRPr="00332065" w:rsidRDefault="00183FE8" w:rsidP="00183FE8">
      <w:pPr>
        <w:spacing w:after="0" w:line="240" w:lineRule="auto"/>
        <w:textAlignment w:val="baseline"/>
        <w:rPr>
          <w:rFonts w:ascii="Times New Roman" w:eastAsia="Times New Roman" w:hAnsi="Times New Roman" w:cs="Times New Roman"/>
          <w:sz w:val="24"/>
          <w:szCs w:val="24"/>
        </w:rPr>
      </w:pPr>
      <w:r w:rsidRPr="00332065">
        <w:rPr>
          <w:rFonts w:ascii="Times New Roman" w:eastAsia="Times New Roman" w:hAnsi="Times New Roman" w:cs="Times New Roman"/>
          <w:sz w:val="24"/>
          <w:szCs w:val="24"/>
          <w:bdr w:val="none" w:sz="0" w:space="0" w:color="auto" w:frame="1"/>
        </w:rPr>
        <w:t>clinical correlate</w:t>
      </w:r>
      <w:r w:rsidRPr="00332065">
        <w:rPr>
          <w:rFonts w:ascii="Times New Roman" w:eastAsia="Times New Roman" w:hAnsi="Times New Roman" w:cs="Times New Roman"/>
          <w:sz w:val="24"/>
          <w:szCs w:val="24"/>
        </w:rPr>
        <w:t xml:space="preserve"> </w:t>
      </w:r>
    </w:p>
    <w:p w14:paraId="13478693" w14:textId="77777777" w:rsidR="00183FE8" w:rsidRPr="00332065" w:rsidRDefault="00183FE8" w:rsidP="00183FE8">
      <w:pPr>
        <w:pStyle w:val="ListParagraph"/>
        <w:numPr>
          <w:ilvl w:val="0"/>
          <w:numId w:val="3"/>
        </w:numPr>
        <w:spacing w:after="0" w:line="240" w:lineRule="auto"/>
        <w:textAlignment w:val="baseline"/>
        <w:rPr>
          <w:rFonts w:ascii="Times New Roman" w:eastAsia="Times New Roman" w:hAnsi="Times New Roman" w:cs="Times New Roman"/>
          <w:b/>
          <w:bCs/>
          <w:sz w:val="24"/>
          <w:szCs w:val="24"/>
        </w:rPr>
      </w:pPr>
      <w:r w:rsidRPr="00332065">
        <w:rPr>
          <w:rFonts w:ascii="Times New Roman" w:eastAsia="Times New Roman" w:hAnsi="Times New Roman" w:cs="Times New Roman"/>
          <w:b/>
          <w:bCs/>
          <w:sz w:val="24"/>
          <w:szCs w:val="24"/>
          <w:bdr w:val="none" w:sz="0" w:space="0" w:color="auto" w:frame="1"/>
        </w:rPr>
        <w:t>Minimal change disease</w:t>
      </w:r>
      <w:r w:rsidRPr="00332065">
        <w:rPr>
          <w:rFonts w:ascii="Times New Roman" w:eastAsia="Times New Roman" w:hAnsi="Times New Roman" w:cs="Times New Roman"/>
          <w:b/>
          <w:bCs/>
          <w:sz w:val="24"/>
          <w:szCs w:val="24"/>
        </w:rPr>
        <w:t xml:space="preserve"> </w:t>
      </w:r>
    </w:p>
    <w:p w14:paraId="3A02679B" w14:textId="71C2B7C4" w:rsidR="00183FE8" w:rsidRPr="00332065" w:rsidRDefault="00183FE8" w:rsidP="00183FE8">
      <w:pPr>
        <w:spacing w:after="0" w:line="240" w:lineRule="auto"/>
        <w:textAlignment w:val="baseline"/>
        <w:rPr>
          <w:rFonts w:ascii="Times New Roman" w:eastAsia="Times New Roman" w:hAnsi="Times New Roman" w:cs="Times New Roman"/>
          <w:sz w:val="24"/>
          <w:szCs w:val="24"/>
        </w:rPr>
      </w:pPr>
      <w:r w:rsidRPr="00332065">
        <w:rPr>
          <w:rFonts w:ascii="Times New Roman" w:eastAsia="Times New Roman" w:hAnsi="Times New Roman" w:cs="Times New Roman"/>
          <w:sz w:val="24"/>
          <w:szCs w:val="24"/>
          <w:bdr w:val="none" w:sz="0" w:space="0" w:color="auto" w:frame="1"/>
        </w:rPr>
        <w:t>a type of nephrotic syndrome that is categorized by effacement of the podocyte foot processes appreciated on</w:t>
      </w:r>
      <w:r>
        <w:rPr>
          <w:rFonts w:ascii="Times New Roman" w:eastAsia="Times New Roman" w:hAnsi="Times New Roman" w:cs="Times New Roman"/>
          <w:sz w:val="24"/>
          <w:szCs w:val="24"/>
          <w:bdr w:val="none" w:sz="0" w:space="0" w:color="auto" w:frame="1"/>
        </w:rPr>
        <w:t>.</w:t>
      </w:r>
    </w:p>
    <w:p w14:paraId="094D739D" w14:textId="77777777" w:rsidR="00183FE8" w:rsidRPr="00332065" w:rsidRDefault="00183FE8" w:rsidP="00183FE8">
      <w:pPr>
        <w:jc w:val="center"/>
        <w:rPr>
          <w:rFonts w:ascii="Times New Roman" w:hAnsi="Times New Roman" w:cs="Times New Roman"/>
          <w:sz w:val="24"/>
          <w:szCs w:val="24"/>
        </w:rPr>
      </w:pPr>
    </w:p>
    <w:p w14:paraId="1C83C541" w14:textId="77777777" w:rsidR="00183FE8" w:rsidRPr="00183FE8" w:rsidRDefault="00183FE8" w:rsidP="00183FE8">
      <w:pPr>
        <w:pStyle w:val="NormalWeb"/>
        <w:spacing w:before="0" w:beforeAutospacing="0" w:after="0" w:afterAutospacing="0" w:line="480" w:lineRule="auto"/>
        <w:rPr>
          <w:rFonts w:cs="Arial"/>
          <w:color w:val="000000" w:themeColor="text1"/>
        </w:rPr>
      </w:pPr>
    </w:p>
    <w:p w14:paraId="1E11C13D" w14:textId="47407BCF" w:rsidR="003C66E8" w:rsidRDefault="00332065" w:rsidP="007E2A4E">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Reference</w:t>
      </w:r>
    </w:p>
    <w:p w14:paraId="0FDA84C0" w14:textId="2284CEE7" w:rsidR="00332065" w:rsidRDefault="00332065" w:rsidP="00332065">
      <w:pPr>
        <w:pStyle w:val="ListParagraph"/>
        <w:numPr>
          <w:ilvl w:val="0"/>
          <w:numId w:val="2"/>
        </w:num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Sciencedirect.com</w:t>
      </w:r>
    </w:p>
    <w:p w14:paraId="5C0227EB" w14:textId="2CE3B50D" w:rsidR="00332065" w:rsidRDefault="00332065" w:rsidP="00332065">
      <w:pPr>
        <w:pStyle w:val="ListParagraph"/>
        <w:numPr>
          <w:ilvl w:val="0"/>
          <w:numId w:val="2"/>
        </w:num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www. Reference.com</w:t>
      </w:r>
    </w:p>
    <w:p w14:paraId="36A5852C" w14:textId="77777777" w:rsidR="00332065" w:rsidRPr="00332065" w:rsidRDefault="00332065" w:rsidP="00332065">
      <w:pPr>
        <w:pStyle w:val="ListParagraph"/>
        <w:rPr>
          <w:rFonts w:ascii="Times New Roman" w:hAnsi="Times New Roman" w:cs="Times New Roman"/>
          <w:sz w:val="24"/>
          <w:szCs w:val="24"/>
          <w:shd w:val="clear" w:color="auto" w:fill="FFFFFF"/>
        </w:rPr>
      </w:pPr>
    </w:p>
    <w:p w14:paraId="6A5FB55D" w14:textId="74BD915D" w:rsidR="003C66E8" w:rsidRDefault="003C66E8" w:rsidP="007E2A4E">
      <w:pPr>
        <w:jc w:val="center"/>
        <w:rPr>
          <w:rFonts w:ascii="Times New Roman" w:hAnsi="Times New Roman" w:cs="Times New Roman"/>
          <w:sz w:val="24"/>
          <w:szCs w:val="24"/>
          <w:shd w:val="clear" w:color="auto" w:fill="FFFFFF"/>
        </w:rPr>
      </w:pPr>
    </w:p>
    <w:p w14:paraId="277EA229" w14:textId="401FBEA9" w:rsidR="003C66E8" w:rsidRDefault="003C66E8" w:rsidP="007E2A4E">
      <w:pPr>
        <w:jc w:val="center"/>
        <w:rPr>
          <w:rFonts w:ascii="Times New Roman" w:hAnsi="Times New Roman" w:cs="Times New Roman"/>
          <w:sz w:val="24"/>
          <w:szCs w:val="24"/>
          <w:shd w:val="clear" w:color="auto" w:fill="FFFFFF"/>
        </w:rPr>
      </w:pPr>
    </w:p>
    <w:p w14:paraId="7C3A9044" w14:textId="77777777" w:rsidR="003C66E8" w:rsidRPr="00332065" w:rsidRDefault="003C66E8" w:rsidP="00BD0810">
      <w:pPr>
        <w:rPr>
          <w:rFonts w:ascii="Times New Roman" w:hAnsi="Times New Roman" w:cs="Times New Roman"/>
          <w:sz w:val="24"/>
          <w:szCs w:val="24"/>
        </w:rPr>
      </w:pPr>
    </w:p>
    <w:sectPr w:rsidR="003C66E8" w:rsidRPr="00332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264A5"/>
    <w:multiLevelType w:val="hybridMultilevel"/>
    <w:tmpl w:val="AB60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205C90"/>
    <w:multiLevelType w:val="multilevel"/>
    <w:tmpl w:val="80CEF86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9F16B84"/>
    <w:multiLevelType w:val="hybridMultilevel"/>
    <w:tmpl w:val="A8DA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4E"/>
    <w:rsid w:val="00183FE8"/>
    <w:rsid w:val="00332065"/>
    <w:rsid w:val="003C66E8"/>
    <w:rsid w:val="007E2A4E"/>
    <w:rsid w:val="00B86584"/>
    <w:rsid w:val="00BD0810"/>
    <w:rsid w:val="00E4763E"/>
    <w:rsid w:val="00EA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D53B"/>
  <w15:chartTrackingRefBased/>
  <w15:docId w15:val="{797665AA-4C05-427A-9938-51706FFE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32065"/>
    <w:pPr>
      <w:keepNext/>
      <w:keepLines/>
      <w:spacing w:before="40" w:after="0" w:line="256"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C66E8"/>
    <w:rPr>
      <w:i/>
      <w:iCs/>
    </w:rPr>
  </w:style>
  <w:style w:type="character" w:customStyle="1" w:styleId="Heading3Char">
    <w:name w:val="Heading 3 Char"/>
    <w:basedOn w:val="DefaultParagraphFont"/>
    <w:link w:val="Heading3"/>
    <w:uiPriority w:val="9"/>
    <w:semiHidden/>
    <w:rsid w:val="00332065"/>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semiHidden/>
    <w:unhideWhenUsed/>
    <w:rsid w:val="00332065"/>
    <w:rPr>
      <w:color w:val="0000FF"/>
      <w:u w:val="single"/>
    </w:rPr>
  </w:style>
  <w:style w:type="paragraph" w:styleId="NormalWeb">
    <w:name w:val="Normal (Web)"/>
    <w:basedOn w:val="Normal"/>
    <w:uiPriority w:val="99"/>
    <w:unhideWhenUsed/>
    <w:rsid w:val="00332065"/>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ListParagraph">
    <w:name w:val="List Paragraph"/>
    <w:basedOn w:val="Normal"/>
    <w:uiPriority w:val="34"/>
    <w:qFormat/>
    <w:rsid w:val="00332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944751">
      <w:bodyDiv w:val="1"/>
      <w:marLeft w:val="0"/>
      <w:marRight w:val="0"/>
      <w:marTop w:val="0"/>
      <w:marBottom w:val="0"/>
      <w:divBdr>
        <w:top w:val="none" w:sz="0" w:space="0" w:color="auto"/>
        <w:left w:val="none" w:sz="0" w:space="0" w:color="auto"/>
        <w:bottom w:val="none" w:sz="0" w:space="0" w:color="auto"/>
        <w:right w:val="none" w:sz="0" w:space="0" w:color="auto"/>
      </w:divBdr>
    </w:div>
    <w:div w:id="1648513520">
      <w:bodyDiv w:val="1"/>
      <w:marLeft w:val="0"/>
      <w:marRight w:val="0"/>
      <w:marTop w:val="0"/>
      <w:marBottom w:val="0"/>
      <w:divBdr>
        <w:top w:val="none" w:sz="0" w:space="0" w:color="auto"/>
        <w:left w:val="none" w:sz="0" w:space="0" w:color="auto"/>
        <w:bottom w:val="none" w:sz="0" w:space="0" w:color="auto"/>
        <w:right w:val="none" w:sz="0" w:space="0" w:color="auto"/>
      </w:divBdr>
    </w:div>
    <w:div w:id="205326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immunology-and-microbiology/glomerular-filtration-barrier" TargetMode="External"/><Relationship Id="rId13" Type="http://schemas.openxmlformats.org/officeDocument/2006/relationships/hyperlink" Target="https://www.sciencedirect.com/topics/medicine-and-dentistry/glomerular-filtration-barrier" TargetMode="External"/><Relationship Id="rId18" Type="http://schemas.openxmlformats.org/officeDocument/2006/relationships/hyperlink" Target="https://www.sciencedirect.com/topics/medicine-and-dentistry/glomerulus-basement-membrane" TargetMode="External"/><Relationship Id="rId26" Type="http://schemas.openxmlformats.org/officeDocument/2006/relationships/hyperlink" Target="https://www.sciencedirect.com/topics/medicine-and-dentistry/calcium-channel" TargetMode="External"/><Relationship Id="rId3" Type="http://schemas.openxmlformats.org/officeDocument/2006/relationships/settings" Target="settings.xml"/><Relationship Id="rId21" Type="http://schemas.openxmlformats.org/officeDocument/2006/relationships/hyperlink" Target="https://www.sciencedirect.com/topics/medicine-and-dentistry/laminin" TargetMode="External"/><Relationship Id="rId7" Type="http://schemas.openxmlformats.org/officeDocument/2006/relationships/image" Target="media/image2.jpeg"/><Relationship Id="rId12" Type="http://schemas.openxmlformats.org/officeDocument/2006/relationships/hyperlink" Target="https://www.sciencedirect.com/topics/immunology-and-microbiology/cytoskeleton" TargetMode="External"/><Relationship Id="rId17" Type="http://schemas.openxmlformats.org/officeDocument/2006/relationships/hyperlink" Target="https://www.sciencedirect.com/topics/medicine-and-dentistry/endothelial-cell" TargetMode="External"/><Relationship Id="rId25" Type="http://schemas.openxmlformats.org/officeDocument/2006/relationships/hyperlink" Target="https://www.sciencedirect.com/topics/medicine-and-dentistry/p-cadheri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ncedirect.com/topics/medicine-and-dentistry/blood-proteins" TargetMode="External"/><Relationship Id="rId20" Type="http://schemas.openxmlformats.org/officeDocument/2006/relationships/hyperlink" Target="https://www.sciencedirect.com/topics/medicine-and-dentistry/collagen-type-4" TargetMode="External"/><Relationship Id="rId29" Type="http://schemas.openxmlformats.org/officeDocument/2006/relationships/hyperlink" Target="https://www.sciencedirect.com/topics/medicine-and-dentistry/actin" TargetMode="External"/><Relationship Id="rId1" Type="http://schemas.openxmlformats.org/officeDocument/2006/relationships/numbering" Target="numbering.xml"/><Relationship Id="rId6" Type="http://schemas.openxmlformats.org/officeDocument/2006/relationships/hyperlink" Target="http://upload.medbullets.com/topic/115004/images/07122017vldrenabowmanscapsulelabeled.jpg" TargetMode="External"/><Relationship Id="rId11" Type="http://schemas.openxmlformats.org/officeDocument/2006/relationships/hyperlink" Target="https://www.sciencedirect.com/topics/immunology-and-microbiology/podocyte" TargetMode="External"/><Relationship Id="rId24" Type="http://schemas.openxmlformats.org/officeDocument/2006/relationships/hyperlink" Target="https://www.sciencedirect.com/topics/medicine-and-dentistry/protein-zo1"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sciencedirect.com/topics/medicine-and-dentistry/proteoglycan" TargetMode="External"/><Relationship Id="rId23" Type="http://schemas.openxmlformats.org/officeDocument/2006/relationships/hyperlink" Target="https://www.sciencedirect.com/topics/medicine-and-dentistry/podocin" TargetMode="External"/><Relationship Id="rId28" Type="http://schemas.openxmlformats.org/officeDocument/2006/relationships/hyperlink" Target="https://www.sciencedirect.com/topics/medicine-and-dentistry/podocyte" TargetMode="External"/><Relationship Id="rId10" Type="http://schemas.openxmlformats.org/officeDocument/2006/relationships/hyperlink" Target="https://www.sciencedirect.com/topics/immunology-and-microbiology/glomerulus-basement-membrane" TargetMode="External"/><Relationship Id="rId19" Type="http://schemas.openxmlformats.org/officeDocument/2006/relationships/hyperlink" Target="https://www.sciencedirect.com/topics/medicine-and-dentistry/podocyte" TargetMode="External"/><Relationship Id="rId31" Type="http://schemas.openxmlformats.org/officeDocument/2006/relationships/hyperlink" Target="https://www.sciencedirect.com/topics/medicine-and-dentistry/integrin" TargetMode="External"/><Relationship Id="rId4" Type="http://schemas.openxmlformats.org/officeDocument/2006/relationships/webSettings" Target="webSettings.xml"/><Relationship Id="rId9" Type="http://schemas.openxmlformats.org/officeDocument/2006/relationships/hyperlink" Target="https://www.sciencedirect.com/topics/immunology-and-microbiology/endothelium" TargetMode="External"/><Relationship Id="rId14" Type="http://schemas.openxmlformats.org/officeDocument/2006/relationships/hyperlink" Target="https://www.sciencedirect.com/topics/medicine-and-dentistry/glycocalyx" TargetMode="External"/><Relationship Id="rId22" Type="http://schemas.openxmlformats.org/officeDocument/2006/relationships/hyperlink" Target="https://www.sciencedirect.com/topics/medicine-and-dentistry/cell-junction" TargetMode="External"/><Relationship Id="rId27" Type="http://schemas.openxmlformats.org/officeDocument/2006/relationships/hyperlink" Target="https://www.sciencedirect.com/topics/medicine-and-dentistry/trpc6" TargetMode="External"/><Relationship Id="rId30" Type="http://schemas.openxmlformats.org/officeDocument/2006/relationships/hyperlink" Target="https://www.sciencedirect.com/topics/medicine-and-dentistry/cytoskele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Emem Grace James</dc:creator>
  <cp:keywords/>
  <dc:description/>
  <cp:lastModifiedBy>Emem Grace James</cp:lastModifiedBy>
  <cp:revision>3</cp:revision>
  <dcterms:created xsi:type="dcterms:W3CDTF">2020-06-07T17:53:00Z</dcterms:created>
  <dcterms:modified xsi:type="dcterms:W3CDTF">2020-07-19T01:13:00Z</dcterms:modified>
</cp:coreProperties>
</file>