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b w:val="1"/>
          <w:sz w:val="32"/>
          <w:szCs w:val="32"/>
          <w:u w:val="single"/>
          <w:lang w:val="en-US"/>
        </w:rPr>
      </w:pPr>
      <w:r>
        <w:rPr>
          <w:b w:val="1"/>
          <w:sz w:val="32"/>
          <w:szCs w:val="32"/>
          <w:u w:val="single"/>
          <w:lang w:val="en-US"/>
        </w:rPr>
        <w:t xml:space="preserve">Name: </w:t>
      </w:r>
      <w:r>
        <w:rPr>
          <w:b w:val="1"/>
          <w:sz w:val="32"/>
          <w:szCs w:val="32"/>
          <w:u w:val="single"/>
          <w:lang w:val="en-US"/>
        </w:rPr>
        <w:t xml:space="preserve">Ogunsanwo Temitope Eyiyemi</w:t>
      </w:r>
      <w:r>
        <w:rPr>
          <w:b w:val="1"/>
          <w:sz w:val="32"/>
          <w:szCs w:val="32"/>
          <w:u w:val="single"/>
          <w:lang w:val="en-US"/>
        </w:rPr>
        <w:t xml:space="preserve"> </w:t>
      </w:r>
    </w:p>
    <w:p>
      <w:pPr>
        <w:rPr>
          <w:b w:val="1"/>
          <w:sz w:val="32"/>
          <w:szCs w:val="32"/>
          <w:u w:val="single"/>
          <w:lang w:val="en-US"/>
        </w:rPr>
      </w:pPr>
      <w:r>
        <w:rPr>
          <w:b w:val="1"/>
          <w:sz w:val="32"/>
          <w:szCs w:val="32"/>
          <w:u w:val="single"/>
          <w:lang w:val="en-US"/>
        </w:rPr>
        <w:t xml:space="preserve">Matric No: 17/sms09/0</w:t>
      </w:r>
      <w:r>
        <w:rPr>
          <w:b w:val="1"/>
          <w:sz w:val="32"/>
          <w:szCs w:val="32"/>
          <w:u w:val="single"/>
          <w:lang w:val="en-US"/>
        </w:rPr>
        <w:t>72</w:t>
      </w:r>
    </w:p>
    <w:p>
      <w:pPr>
        <w:rPr>
          <w:b w:val="1"/>
          <w:sz w:val="32"/>
          <w:szCs w:val="32"/>
          <w:u w:val="single"/>
          <w:lang w:val="en-US"/>
        </w:rPr>
      </w:pPr>
      <w:r>
        <w:rPr>
          <w:b w:val="1"/>
          <w:sz w:val="32"/>
          <w:szCs w:val="32"/>
          <w:u w:val="single"/>
          <w:lang w:val="en-US"/>
        </w:rPr>
        <w:t xml:space="preserve">Course Code: IRD320</w:t>
      </w:r>
    </w:p>
    <w:p>
      <w:pPr>
        <w:rPr>
          <w:b w:val="1"/>
          <w:sz w:val="32"/>
          <w:szCs w:val="32"/>
          <w:u w:val="single"/>
          <w:lang w:val="en-US"/>
        </w:rPr>
      </w:pPr>
      <w:r>
        <w:rPr>
          <w:b w:val="1"/>
          <w:sz w:val="32"/>
          <w:szCs w:val="32"/>
          <w:u w:val="single"/>
          <w:lang w:val="en-US"/>
        </w:rPr>
        <w:t xml:space="preserve">Date : Thursda</w:t>
      </w:r>
      <w:r>
        <w:rPr>
          <w:b w:val="1"/>
          <w:sz w:val="32"/>
          <w:szCs w:val="32"/>
          <w:u w:val="single"/>
          <w:lang w:val="en-US"/>
        </w:rPr>
        <w:t xml:space="preserve">y 6th August 2020</w:t>
      </w:r>
    </w:p>
    <w:p>
      <w:pPr>
        <w:rPr>
          <w:b w:val="1"/>
          <w:sz w:val="32"/>
          <w:szCs w:val="32"/>
          <w:u w:val="single"/>
          <w:lang w:val="en-US"/>
        </w:rPr>
      </w:pP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u w:val="single"/>
          <w:rFonts w:ascii="Times New Roman" w:hAnsi="Times New Roman" w:cs="Times New Roman"/>
        </w:rPr>
        <w:t>1)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 key problem for Rawls is to show how such principles would be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universally adopted, and here the work borders on general ethical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issues. He introduces a theoretical "veil of ignorance" in which all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"players" in the social game would be placed in a situation which is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called the "original position." Having only a general knowledge about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facts of "life and society," each player is to make a "rationally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prudential choice" concerning the kind of social institution they would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enter into contract with. By denying the players any specific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information about themselves it forces them to adopt a generalized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point of view that bears a strong resemblance to the moral point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view. "Moral conclusions can be reached without abandoning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prudential standpoint and positing a moral outlook merely by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pursuing one's own prudential reasoning under certain procedural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bargaining and knowledge constraints."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>2) 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Rawls's second principle of justice has two parts. The first part, fair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equality of opportunity, requires that citizens with the same talents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and willingness to use them have the same educational and economic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opportunities regardless of whether they were born rich or poor. “In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all parts of society there are to be roughly the same prospects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culture and achievement for those similarly motivated and endowed”.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So, for example, if we assume that natural endowments and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willingness to use them are evenly distributed across children born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into different social classes, then within any type of occupation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(generally specified) we should find that roughly one quarter of people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 that occupation were born into the top 25% of the income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distribution, one quarter were born into the second-highest 25%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income distribution, one quarter were born into the second-lowest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25%, and one-quarter were born into the lowest 25%. Since class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origin is a morally arbitrary fact about citizens, justice does not allow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class of origin to turn into unequal opportunities for education 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meaningful work.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second part of the second principle is the difference principle,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which regulates the distribution of wealth and income. Allowing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inequalities of wealth and income can lead to a larger social product: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higher wages can cover the costs of training and education, for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example, and can provide incentives to fill jobs that are more in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demand. The difference principle allows inequalities of wealth and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income, so long as these will be to to everyone's advantage, and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specifically to the advantage of those who will be worst off.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difference principle requires, that is, that any economic inequalities be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to the greatest advantage of those who are advantaged least.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>3) 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Rawls's conceptions of citizens and society are still quite abstract, and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some might think innocuous. The </w:t>
      </w:r>
      <w:r>
        <w:rPr>
          <w:i w:val="1"/>
          <w:b w:val="1"/>
          <w:color w:val="333333"/>
          <w:sz w:val="30"/>
          <w:szCs w:val="30"/>
          <w:rFonts w:ascii="Times New Roman" w:hAnsi="Times New Roman" w:cs="Times New Roman"/>
        </w:rPr>
        <w:t xml:space="preserve">original position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 aims to move from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these abstract conceptions to determinate principles of social justice. It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does so by translating the question: “What are fair terms of social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cooperation for free and equal citizens?” into the question “What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terms of cooperation would free and equal citizens agree to under fair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conditions?” The move to agreement among citizens is what places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Rawls's justice as fairness within the social contract tradition of Locke,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Rousseau and Kant.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strategy of the original position is to construct a method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reasoning that models abstract ideas about justice so as to focus their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power together onto the choice of principles. So Rawls's conceptions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citizens and of society are built into the design of the original position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itself. Rawls's intent is that readers will see the outcome of the original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position as justified because they will see how it embodies plausible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understandings of citizens and society, and also because this outcome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confirms many of their considered convictions about justice on specific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>issues.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original position is a thought experiment: an imaginary situation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 which each real citizen has a representative, and all of these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representatives come to an agreement on which principles of justice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should order the political institutions of the real citizens. This thought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experiment is better than trying to get all real citizens actually to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assemble in person to try to agree to principles of justice for their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society. Even if that were possible, the bargaining among real citizens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would be influenced by all sorts of factors irrelevant to justice, such as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who could threaten the others most, or who could hold out for longest.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original position abstracts from all such irrelevant factors.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original position is a fair situation in which each citizen is represented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as only a free and equal citizen: each representative wants only what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free and equal citizens want, and each tries to agree to principles for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basic structure while situated fairly with respect to the other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representatives. The design of the original position thus models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ideas of freedom, equality and fairness. For example, fairness and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equality are modeled in the original position by making the parties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who represent real citizens symmetrically situated: no citizen's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representative is able to threaten any other citizen's representative, 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to hold out longer for a better deal.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most striking feature of the original position is the </w:t>
      </w:r>
      <w:r>
        <w:rPr>
          <w:i w:val="1"/>
          <w:b w:val="1"/>
          <w:color w:val="333333"/>
          <w:sz w:val="30"/>
          <w:szCs w:val="30"/>
          <w:rFonts w:ascii="Times New Roman" w:hAnsi="Times New Roman" w:cs="Times New Roman"/>
        </w:rPr>
        <w:t xml:space="preserve">veil of </w:t>
      </w:r>
      <w:r>
        <w:rPr>
          <w:i w:val="1"/>
          <w:b w:val="1"/>
          <w:color w:val="333333"/>
          <w:sz w:val="30"/>
          <w:szCs w:val="30"/>
          <w:rFonts w:ascii="Times New Roman" w:hAnsi="Times New Roman" w:cs="Times New Roman"/>
        </w:rPr>
        <w:t>ignorance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, which prevents arbitrary facts about citizens from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influencing the agreement among their representatives. As we have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seen, Rawls holds that the fact that a citizen is of a certain race, class,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and gender is no reason for social institutions to favor or disfavor her.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Each representative in the original position is therefore deprived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knowledge of the race, class, and gender of the real citizen that they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represent. In fact, the veil of ignorance deprives the parties of all facts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about citizens that are irrelevant to the choice of principles of justice: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not only facts about their race, class, and gender but also facts about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their age, natural endowments, and more. Moreover the veil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ignorance also screens out specific information about what society is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like right now, so as to get a clearer view of the permanent features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 just social system.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Behind the veil of ignorance, the informational situation of the parties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that represent real citizens is as follows:</w:t>
      </w:r>
    </w:p>
    <w:p>
      <w:pPr>
        <w:numPr>
          <w:ilvl w:val="0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Parties do not know:</w:t>
      </w:r>
    </w:p>
    <w:p>
      <w:pPr>
        <w:numPr>
          <w:ilvl w:val="1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The race, ethnicity, gender, age, income, wealth, natural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endowments, comprehensive doctrine, etc. of any of the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citizens in society, or to which generation in the history of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the society these citizens belong.</w:t>
      </w:r>
    </w:p>
    <w:p>
      <w:pPr>
        <w:numPr>
          <w:ilvl w:val="1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The political system of the society, its class structure,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economic system, or level of economic development.</w:t>
      </w:r>
    </w:p>
    <w:p>
      <w:pPr>
        <w:numPr>
          <w:ilvl w:val="0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Parties do know:</w:t>
      </w:r>
    </w:p>
    <w:p>
      <w:pPr>
        <w:numPr>
          <w:ilvl w:val="1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That citizens in the society have different comprehensive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doctrines and plans of life; that all citizens have interests in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more primary goods.</w:t>
      </w:r>
    </w:p>
    <w:p>
      <w:pPr>
        <w:numPr>
          <w:ilvl w:val="1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That the society is under conditions of moderate scarcity: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there is enough to go around, but not enough for everyone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to get what they want;</w:t>
      </w:r>
    </w:p>
    <w:p>
      <w:pPr>
        <w:numPr>
          <w:ilvl w:val="1"/>
          <w:numId w:val="1"/>
        </w:num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General facts and common sense about human social life;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general conclusions of science (including economics and </w:t>
      </w:r>
      <w:r>
        <w:rPr>
          <w:b w:val="1"/>
          <w:color w:val="333333"/>
          <w:sz w:val="30"/>
          <w:szCs w:val="30"/>
          <w:rFonts w:ascii="Times New Roman" w:eastAsia="Times New Roman" w:hAnsi="Times New Roman" w:cs="Times New Roman"/>
        </w:rPr>
        <w:t xml:space="preserve">psychology) that are uncontroversial.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veil of ignorance situates the representatives of free and equal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citizens fairly with respect to one another. No party can press for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agreement on principles that will arbitrarily favor the particular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citizen they represent, because no party knows the specific attributes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of the citizen they represent. The situation of the parties thus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embodies reasonable conditions, within which the parties can make a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rational agreement. Each party tries to agree to principles that will be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best for the citizen they represent (i.e., that will maximize that citizen's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share of primary goods). Since the parties are fairly situated,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agreement they reach will be fair to all actual citizens.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design of the original position also models other aspects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Rawls's conceptions of citizens and society. For example the publicity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of a well-ordered society is modeled by the fact that the parties must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choose among principles that can be publicly endorsed by all citizens.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There are also some assumptions that make the hypothetical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agreement determinate and decisive: the parties are not motivated by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envy (i.e., by how much citizens besides their own end up with); the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parties are not assumed to be either risk-seeking or risk-averse; and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 parties must make a final agreement on principles for the basic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structure: there are no “do-overs” after the veil of ignorance is lifted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and the parties learn which real citizen they represent.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br/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>4) 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Social cooperation in some form is necessary for citizens to be able to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lead decent lives. Yet citizens are not indifferent to how the benefits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and burdens of cooperation will be divided amongst them. Rawls's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principles of justice as fairness articulate the central liberal ideas that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cooperation should be fair to all citizens regarded as free and as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equals. The distinctive interpretation that Rawls gives to these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concepts can be seen as combining a negative and a positive thesis.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Rawls's negative thesis starts with the idea that citizens do not deserve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to be born into a rich or a poor family, to be born naturally more 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less gifted than others, to be born female or male, to be born a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member of a particular racial group, and so on. Since these features of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persons are morally arbitrary in this sense, citizens are not entitled to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more of the benefits of social cooperation simply because of them. For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example the fact that a citizen was born rich, white, and male provides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no reason in itself for this citizen to be favored by social institutions.</w:t>
      </w:r>
    </w:p>
    <w:p>
      <w:pPr>
        <w:shd w:val="clear" w:color="000000" w:fill="FFFFFF"/>
        <w:spacing w:lineRule="auto" w:line="360" w:before="100" w:beforeAutospacing="1" w:afterAutospacing="1" w:after="100"/>
        <w:rPr>
          <w:b w:val="1"/>
          <w:color w:val="333333"/>
          <w:sz w:val="30"/>
          <w:szCs w:val="30"/>
          <w:rFonts w:ascii="Times New Roman" w:hAnsi="Times New Roman" w:cs="Times New Roman"/>
        </w:rPr>
      </w:pP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This negative thesis does not say how social goods should be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distributed; it merely clears the decks. Rawls's positive distributive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thesis is equality-based reciprocity. All social goods are to be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distributed equally, unless an unequal distribution would be to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everyone's advantage. The guiding idea is that since citizens are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fundamentally equal, reasoning about justice should begin from a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presumption that cooperatively-produced goods should be equally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divided. Justice then requires that any inequalities must benefit all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citizens, and particularly must benefit those who will have the least.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Equality sets the baseline; from there any inequalities must improve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everyone's situation, and especially the situation of the worst-off.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These strong requirements of equality and reciprocal advantage are </w:t>
      </w:r>
      <w:r>
        <w:rPr>
          <w:b w:val="1"/>
          <w:color w:val="333333"/>
          <w:sz w:val="30"/>
          <w:szCs w:val="30"/>
          <w:rFonts w:ascii="Times New Roman" w:hAnsi="Times New Roman" w:cs="Times New Roman"/>
        </w:rPr>
        <w:t xml:space="preserve">hallmarks of Rawls's theory of justice.</w:t>
      </w:r>
    </w:p>
    <w:p>
      <w:pPr>
        <w:rPr>
          <w:b w:val="1"/>
          <w:sz w:val="32"/>
          <w:szCs w:val="32"/>
          <w:u w:val="single"/>
          <w:lang w:val="en-US"/>
        </w:rPr>
      </w:pP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23959E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en-GB" w:val="en-NG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8" w:type="character">
    <w:name w:val="Emphasis"/>
    <w:basedOn w:val="PO2"/>
    <w:qFormat/>
    <w:uiPriority w:val="18"/>
    <w:rPr>
      <w:i w:val="1"/>
    </w:rPr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Normal (Web)"/>
    <w:basedOn w:val="PO1"/>
    <w:uiPriority w:val="151"/>
    <w:semiHidden/>
    <w:unhideWhenUsed/>
    <w:pPr>
      <w:spacing w:before="100" w:beforeAutospacing="1" w:afterAutospacing="1" w:after="100"/>
      <w:rPr/>
    </w:pPr>
    <w:rPr>
      <w:sz w:val="24"/>
      <w:szCs w:val="24"/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10487</Characters>
  <CharactersWithSpaces>0</CharactersWithSpaces>
  <DocSecurity>0</DocSecurity>
  <HyperlinksChanged>false</HyperlinksChanged>
  <Lines>74</Lines>
  <LinksUpToDate>false</LinksUpToDate>
  <Pages>7</Pages>
  <Paragraphs>20</Paragraphs>
  <Words>1568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George Jason</dc:creator>
  <cp:lastModifiedBy>po_user</cp:lastModifiedBy>
  <dcterms:modified xsi:type="dcterms:W3CDTF">2020-08-06T18:50:00Z</dcterms:modified>
</cp:coreProperties>
</file>