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OGOLOMA PRINCESS RUHUOMA ADA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16/MHS01/165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ANATOMY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The development of the human lungs </w:t>
      </w:r>
      <w:r w:rsidDel="00000000" w:rsidR="00000000" w:rsidRPr="00000000">
        <w:rPr>
          <w:rFonts w:ascii="Roboto" w:cs="Roboto" w:eastAsia="Roboto" w:hAnsi="Roboto"/>
          <w:color w:val="222222"/>
          <w:sz w:val="24"/>
          <w:szCs w:val="24"/>
          <w:rtl w:val="0"/>
        </w:rPr>
        <w:t xml:space="preserve">arises</w:t>
      </w: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from the laryngotracheal groove and </w:t>
      </w:r>
      <w:r w:rsidDel="00000000" w:rsidR="00000000" w:rsidRPr="00000000">
        <w:rPr>
          <w:rFonts w:ascii="Roboto" w:cs="Roboto" w:eastAsia="Roboto" w:hAnsi="Roboto"/>
          <w:color w:val="222222"/>
          <w:sz w:val="24"/>
          <w:szCs w:val="24"/>
          <w:rtl w:val="0"/>
        </w:rPr>
        <w:t xml:space="preserve">develops</w:t>
      </w: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to maturity over several weeks in the foetus and for several years following birth.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The larynx, trachea, bronchi and lungs that make up the respiratory tract, begin to form during the fourth week of embryogenesis  from the lung bud which appears ventrally to the caudal portion of the foregut.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The respiratory tract has a branching structure, and is also known as the respiratory tree. In the embryo this structure is developed in the process </w:t>
      </w:r>
      <w:r w:rsidDel="00000000" w:rsidR="00000000" w:rsidRPr="00000000">
        <w:rPr>
          <w:rFonts w:ascii="inherit" w:cs="inherit" w:eastAsia="inherit" w:hAnsi="inherit"/>
          <w:b w:val="0"/>
          <w:i w:val="0"/>
          <w:smallCaps w:val="0"/>
          <w:strike w:val="0"/>
          <w:color w:val="222222"/>
          <w:sz w:val="24"/>
          <w:szCs w:val="24"/>
          <w:u w:val="none"/>
          <w:shd w:fill="auto" w:val="clear"/>
          <w:vertAlign w:val="baseline"/>
          <w:rtl w:val="0"/>
        </w:rPr>
        <w:t xml:space="preserve">of branching morphogenesis </w:t>
      </w: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and is generated by the repeated splitting of the tip of the branch. In the development of the lungs (as in some other organs) the epithelium forms branching tubes. The lung has a left-right symmetry and each bud known as a a bronchial bud grows out as a tubular epithelium that becomes a bronchus. Each bronchus branches into bronchioles. The branching is a result of the tip of each tube bifurcating. The branching process forms the bronchi, bronchioles, and ultimately the alveoli. The four genes mostly associated with branching morphogenesis in the lung are and  intercellular signalling proteins (SHH), fibroblasts growth and FGFR2b, and morphogenetic protein is seen to have the most prominent role. FGF10 is a </w:t>
      </w:r>
      <w:hyperlink r:id="rId6">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paracrine signalling</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molecule needed for epithelial branching, and SHH inhibits FGF10. The development of the alveoli is influenced by a different mechanism whereby continued bifurcation is stopped and the distal tips become dilated to form the alveoli.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At the end of the fourth week the lung bud divides into two, the right and left </w:t>
      </w:r>
      <w:hyperlink r:id="rId7">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primary bronchial buds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hyperlink r:id="rId8">
        <w:r w:rsidDel="00000000" w:rsidR="00000000" w:rsidRPr="00000000">
          <w:rPr>
            <w:rFonts w:ascii="inherit" w:cs="inherit" w:eastAsia="inherit" w:hAnsi="inherit"/>
            <w:b w:val="0"/>
            <w:i w:val="0"/>
            <w:smallCaps w:val="0"/>
            <w:strike w:val="0"/>
            <w:color w:val="6b4ba1"/>
            <w:sz w:val="18"/>
            <w:szCs w:val="18"/>
            <w:u w:val="single"/>
            <w:shd w:fill="auto" w:val="clear"/>
            <w:vertAlign w:val="baseline"/>
            <w:rtl w:val="0"/>
          </w:rPr>
          <w:t xml:space="preserve">[51]</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From the sixth week to the sixteenth week, the major elements of the lungs appear except the </w:t>
      </w:r>
      <w:hyperlink r:id="rId9">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alveoli</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From week 16 to week 26, the bronchi enlarge and lung tissue becomes highly vascularised. Bronchioles and alveolar ducts also develop. By week 26 the terminal bronchioles have formed which branch into two respiratory bronchioles. During the period covering the 26th week until birth the important </w:t>
      </w:r>
      <w:hyperlink r:id="rId10">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blood–air barrier</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is established. Specialised </w:t>
      </w:r>
      <w:hyperlink r:id="rId11">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type I alveolar cells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where </w:t>
      </w:r>
      <w:hyperlink r:id="rId12">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gas exchange</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will take place, together with the </w:t>
      </w:r>
      <w:hyperlink r:id="rId13">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type II alveolar cells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that secrete </w:t>
      </w:r>
      <w:hyperlink r:id="rId14">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pulmonary surfactant</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appear. The surfactant reduces the </w:t>
      </w:r>
      <w:hyperlink r:id="rId15">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surface tension</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at the air-alveolar surface which allows expansion of the alveolar sacs. The alveolar sacs contain the primitive alveoli that form at the end of the alveolar ducts and their appearance around the seventh month marks the point at which limited respiration would be possible, and the premature baby could survive.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Rotation of the stomach and the formation of the omental bursa</w:t>
      </w:r>
    </w:p>
    <w:p w:rsidR="00000000" w:rsidDel="00000000" w:rsidP="00000000" w:rsidRDefault="00000000" w:rsidRPr="00000000" w14:paraId="0000000F">
      <w:pPr>
        <w:rPr>
          <w:rFonts w:ascii="Roboto" w:cs="Roboto" w:eastAsia="Roboto" w:hAnsi="Roboto"/>
          <w:color w:val="3c4043"/>
          <w:sz w:val="27"/>
          <w:szCs w:val="27"/>
          <w:highlight w:val="white"/>
        </w:rPr>
      </w:pPr>
      <w:r w:rsidDel="00000000" w:rsidR="00000000" w:rsidRPr="00000000">
        <w:rPr>
          <w:rFonts w:ascii="Roboto" w:cs="Roboto" w:eastAsia="Roboto" w:hAnsi="Roboto"/>
          <w:b w:val="1"/>
          <w:color w:val="3c4043"/>
          <w:sz w:val="27"/>
          <w:szCs w:val="27"/>
          <w:highlight w:val="white"/>
          <w:rtl w:val="0"/>
        </w:rPr>
        <w:t xml:space="preserve">During development</w:t>
      </w:r>
      <w:r w:rsidDel="00000000" w:rsidR="00000000" w:rsidRPr="00000000">
        <w:rPr>
          <w:rFonts w:ascii="Roboto" w:cs="Roboto" w:eastAsia="Roboto" w:hAnsi="Roboto"/>
          <w:color w:val="3c4043"/>
          <w:sz w:val="27"/>
          <w:szCs w:val="27"/>
          <w:highlight w:val="white"/>
          <w:rtl w:val="0"/>
        </w:rPr>
        <w:t xml:space="preserve"> the </w:t>
      </w:r>
      <w:r w:rsidDel="00000000" w:rsidR="00000000" w:rsidRPr="00000000">
        <w:rPr>
          <w:rFonts w:ascii="Roboto" w:cs="Roboto" w:eastAsia="Roboto" w:hAnsi="Roboto"/>
          <w:b w:val="1"/>
          <w:color w:val="3c4043"/>
          <w:sz w:val="27"/>
          <w:szCs w:val="27"/>
          <w:highlight w:val="white"/>
          <w:rtl w:val="0"/>
        </w:rPr>
        <w:t xml:space="preserve">stomach rotates</w:t>
      </w:r>
      <w:r w:rsidDel="00000000" w:rsidR="00000000" w:rsidRPr="00000000">
        <w:rPr>
          <w:rFonts w:ascii="Roboto" w:cs="Roboto" w:eastAsia="Roboto" w:hAnsi="Roboto"/>
          <w:color w:val="3c4043"/>
          <w:sz w:val="27"/>
          <w:szCs w:val="27"/>
          <w:highlight w:val="white"/>
          <w:rtl w:val="0"/>
        </w:rPr>
        <w:t xml:space="preserve"> 90 in a clockwise direction along its longitudinal axis, placing the left vagus nerve along its anterior side and the right vagus nerve along its posterior side. </w:t>
      </w:r>
      <w:r w:rsidDel="00000000" w:rsidR="00000000" w:rsidRPr="00000000">
        <w:rPr>
          <w:rFonts w:ascii="Roboto" w:cs="Roboto" w:eastAsia="Roboto" w:hAnsi="Roboto"/>
          <w:b w:val="1"/>
          <w:color w:val="3c4043"/>
          <w:sz w:val="27"/>
          <w:szCs w:val="27"/>
          <w:highlight w:val="white"/>
          <w:rtl w:val="0"/>
        </w:rPr>
        <w:t xml:space="preserve">Rotation of the stomach</w:t>
      </w:r>
      <w:r w:rsidDel="00000000" w:rsidR="00000000" w:rsidRPr="00000000">
        <w:rPr>
          <w:rFonts w:ascii="Roboto" w:cs="Roboto" w:eastAsia="Roboto" w:hAnsi="Roboto"/>
          <w:color w:val="3c4043"/>
          <w:sz w:val="27"/>
          <w:szCs w:val="27"/>
          <w:highlight w:val="white"/>
          <w:rtl w:val="0"/>
        </w:rPr>
        <w:t xml:space="preserve"> creates the omental bursa or lesser peritoneal sac.</w:t>
      </w:r>
    </w:p>
    <w:p w:rsidR="00000000" w:rsidDel="00000000" w:rsidP="00000000" w:rsidRDefault="00000000" w:rsidRPr="00000000" w14:paraId="0000001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Development of the esophagus.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In early </w:t>
      </w:r>
      <w:hyperlink r:id="rId16">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embryogenesis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the esophagus develops from the </w:t>
      </w:r>
      <w:hyperlink r:id="rId17">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endodermal</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w:t>
      </w:r>
      <w:hyperlink r:id="rId18">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primitive gut tube</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The ventral part of the embryo abuts the </w:t>
      </w:r>
      <w:hyperlink r:id="rId19">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yolk sac</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During the second week of embryological development, as the embryo grows, it begins to surround parts of the sac. The enveloped portions form the basis for the adult gastrointestinal tract.</w:t>
      </w:r>
      <w:hyperlink r:id="rId20">
        <w:r w:rsidDel="00000000" w:rsidR="00000000" w:rsidRPr="00000000">
          <w:rPr>
            <w:rFonts w:ascii="inherit" w:cs="inherit" w:eastAsia="inherit" w:hAnsi="inherit"/>
            <w:b w:val="0"/>
            <w:i w:val="0"/>
            <w:smallCaps w:val="0"/>
            <w:strike w:val="0"/>
            <w:color w:val="6b4ba1"/>
            <w:sz w:val="18"/>
            <w:szCs w:val="18"/>
            <w:u w:val="single"/>
            <w:shd w:fill="auto" w:val="clear"/>
            <w:vertAlign w:val="baseline"/>
            <w:rtl w:val="0"/>
          </w:rPr>
          <w:t xml:space="preserve">[21]</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The sac is surrounded by a network of </w:t>
      </w:r>
      <w:hyperlink r:id="rId21">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vitelline arteries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Over time, these arteries consolidate into the three main arteries that supply the developing gastrointestinal tract: the </w:t>
      </w:r>
      <w:hyperlink r:id="rId22">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celiac artery</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w:t>
      </w:r>
      <w:hyperlink r:id="rId23">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superior mesenteric artery</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and </w:t>
      </w:r>
      <w:hyperlink r:id="rId24">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inferior mesenteric artery</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The areas supplied by these arteries are used to define the </w:t>
      </w:r>
      <w:hyperlink r:id="rId25">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midgut</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w:t>
      </w:r>
      <w:hyperlink r:id="rId26">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hindgut</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and </w:t>
      </w:r>
      <w:hyperlink r:id="rId27">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foregut</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w:t>
      </w:r>
      <w:hyperlink r:id="rId28">
        <w:r w:rsidDel="00000000" w:rsidR="00000000" w:rsidRPr="00000000">
          <w:rPr>
            <w:rFonts w:ascii="inherit" w:cs="inherit" w:eastAsia="inherit" w:hAnsi="inherit"/>
            <w:b w:val="0"/>
            <w:i w:val="0"/>
            <w:smallCaps w:val="0"/>
            <w:strike w:val="0"/>
            <w:color w:val="6b4ba1"/>
            <w:sz w:val="18"/>
            <w:szCs w:val="18"/>
            <w:u w:val="single"/>
            <w:shd w:fill="auto" w:val="clear"/>
            <w:vertAlign w:val="baseline"/>
            <w:rtl w:val="0"/>
          </w:rPr>
          <w:t xml:space="preserve">[21]</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0"/>
          <w:i w:val="0"/>
          <w:smallCaps w:val="0"/>
          <w:strike w:val="0"/>
          <w:color w:val="222222"/>
          <w:sz w:val="24"/>
          <w:szCs w:val="24"/>
          <w:u w:val="none"/>
          <w:shd w:fill="auto" w:val="clear"/>
          <w:vertAlign w:val="baseline"/>
        </w:rPr>
      </w:pPr>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The surrounded sac becomes the primitive gut. Sections of this gut begin to differentiate into the organs of the gastrointestinal tract, such as the esophagus, </w:t>
      </w:r>
      <w:hyperlink r:id="rId29">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stomach</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and </w:t>
      </w:r>
      <w:hyperlink r:id="rId30">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intestines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w:t>
      </w:r>
      <w:hyperlink r:id="rId31">
        <w:r w:rsidDel="00000000" w:rsidR="00000000" w:rsidRPr="00000000">
          <w:rPr>
            <w:rFonts w:ascii="inherit" w:cs="inherit" w:eastAsia="inherit" w:hAnsi="inherit"/>
            <w:b w:val="0"/>
            <w:i w:val="0"/>
            <w:smallCaps w:val="0"/>
            <w:strike w:val="0"/>
            <w:color w:val="6b4ba1"/>
            <w:sz w:val="18"/>
            <w:szCs w:val="18"/>
            <w:u w:val="single"/>
            <w:shd w:fill="auto" w:val="clear"/>
            <w:vertAlign w:val="baseline"/>
            <w:rtl w:val="0"/>
          </w:rPr>
          <w:t xml:space="preserve">[21]</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The esophagus develops as part of the foregut tube.</w:t>
      </w:r>
      <w:hyperlink r:id="rId32">
        <w:r w:rsidDel="00000000" w:rsidR="00000000" w:rsidRPr="00000000">
          <w:rPr>
            <w:rFonts w:ascii="inherit" w:cs="inherit" w:eastAsia="inherit" w:hAnsi="inherit"/>
            <w:b w:val="0"/>
            <w:i w:val="0"/>
            <w:smallCaps w:val="0"/>
            <w:strike w:val="0"/>
            <w:color w:val="6b4ba1"/>
            <w:sz w:val="18"/>
            <w:szCs w:val="18"/>
            <w:u w:val="single"/>
            <w:shd w:fill="auto" w:val="clear"/>
            <w:vertAlign w:val="baseline"/>
            <w:rtl w:val="0"/>
          </w:rPr>
          <w:t xml:space="preserve">[21]</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 The innervation of the esophagus develops from the </w:t>
      </w:r>
      <w:hyperlink r:id="rId33">
        <w:r w:rsidDel="00000000" w:rsidR="00000000" w:rsidRPr="00000000">
          <w:rPr>
            <w:rFonts w:ascii="inherit" w:cs="inherit" w:eastAsia="inherit" w:hAnsi="inherit"/>
            <w:b w:val="0"/>
            <w:i w:val="0"/>
            <w:smallCaps w:val="0"/>
            <w:strike w:val="0"/>
            <w:color w:val="6b4ba1"/>
            <w:sz w:val="24"/>
            <w:szCs w:val="24"/>
            <w:u w:val="single"/>
            <w:shd w:fill="auto" w:val="clear"/>
            <w:vertAlign w:val="baseline"/>
            <w:rtl w:val="0"/>
          </w:rPr>
          <w:t xml:space="preserve">pharyngeal arches</w:t>
        </w:r>
      </w:hyperlink>
      <w:r w:rsidDel="00000000" w:rsidR="00000000" w:rsidRPr="00000000">
        <w:rPr>
          <w:rFonts w:ascii="Roboto" w:cs="Roboto" w:eastAsia="Roboto" w:hAnsi="Roboto"/>
          <w:b w:val="0"/>
          <w:i w:val="0"/>
          <w:smallCaps w:val="0"/>
          <w:strike w:val="0"/>
          <w:color w:val="222222"/>
          <w:sz w:val="24"/>
          <w:szCs w:val="24"/>
          <w:u w:val="none"/>
          <w:shd w:fill="auto" w:val="clear"/>
          <w:vertAlign w:val="baseline"/>
          <w:rtl w:val="0"/>
        </w:rPr>
        <w:t xml:space="preserve">.</w:t>
      </w:r>
      <w:hyperlink r:id="rId34">
        <w:r w:rsidDel="00000000" w:rsidR="00000000" w:rsidRPr="00000000">
          <w:rPr>
            <w:rFonts w:ascii="inherit" w:cs="inherit" w:eastAsia="inherit" w:hAnsi="inherit"/>
            <w:b w:val="0"/>
            <w:i w:val="0"/>
            <w:smallCaps w:val="0"/>
            <w:strike w:val="0"/>
            <w:color w:val="6b4ba1"/>
            <w:sz w:val="18"/>
            <w:szCs w:val="18"/>
            <w:u w:val="single"/>
            <w:shd w:fill="auto" w:val="clear"/>
            <w:vertAlign w:val="baseline"/>
            <w:rtl w:val="0"/>
          </w:rPr>
          <w:t xml:space="preserve">[3]</w:t>
        </w:r>
      </w:hyperlink>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n.m.wikipedia.org/wiki/Esophagus#cite_note-LARSEN2009-21" TargetMode="External"/><Relationship Id="rId22" Type="http://schemas.openxmlformats.org/officeDocument/2006/relationships/hyperlink" Target="https://en.m.wikipedia.org/wiki/Celiac_artery" TargetMode="External"/><Relationship Id="rId21" Type="http://schemas.openxmlformats.org/officeDocument/2006/relationships/hyperlink" Target="https://en.m.wikipedia.org/wiki/Vitelline_arteries" TargetMode="External"/><Relationship Id="rId24" Type="http://schemas.openxmlformats.org/officeDocument/2006/relationships/hyperlink" Target="https://en.m.wikipedia.org/wiki/Inferior_mesenteric_artery" TargetMode="External"/><Relationship Id="rId23" Type="http://schemas.openxmlformats.org/officeDocument/2006/relationships/hyperlink" Target="https://en.m.wikipedia.org/wiki/Superior_mesenteric_arte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m.wikipedia.org/wiki/Pulmonary_alveolus" TargetMode="External"/><Relationship Id="rId26" Type="http://schemas.openxmlformats.org/officeDocument/2006/relationships/hyperlink" Target="https://en.m.wikipedia.org/wiki/Hindgut" TargetMode="External"/><Relationship Id="rId25" Type="http://schemas.openxmlformats.org/officeDocument/2006/relationships/hyperlink" Target="https://en.m.wikipedia.org/wiki/Midgut" TargetMode="External"/><Relationship Id="rId28" Type="http://schemas.openxmlformats.org/officeDocument/2006/relationships/hyperlink" Target="https://en.m.wikipedia.org/wiki/Esophagus#cite_note-LARSEN2009-21" TargetMode="External"/><Relationship Id="rId27" Type="http://schemas.openxmlformats.org/officeDocument/2006/relationships/hyperlink" Target="https://en.m.wikipedia.org/wiki/Foregut" TargetMode="External"/><Relationship Id="rId5" Type="http://schemas.openxmlformats.org/officeDocument/2006/relationships/styles" Target="styles.xml"/><Relationship Id="rId6" Type="http://schemas.openxmlformats.org/officeDocument/2006/relationships/hyperlink" Target="https://en.m.wikipedia.org/wiki/Paracrine_signalling" TargetMode="External"/><Relationship Id="rId29" Type="http://schemas.openxmlformats.org/officeDocument/2006/relationships/hyperlink" Target="https://en.m.wikipedia.org/wiki/Stomach" TargetMode="External"/><Relationship Id="rId7" Type="http://schemas.openxmlformats.org/officeDocument/2006/relationships/hyperlink" Target="https://en.m.wikipedia.org/wiki/Lung_bud" TargetMode="External"/><Relationship Id="rId8" Type="http://schemas.openxmlformats.org/officeDocument/2006/relationships/hyperlink" Target="https://en.m.wikipedia.org/wiki/Lung#cite_note-Larsen2001-51" TargetMode="External"/><Relationship Id="rId31" Type="http://schemas.openxmlformats.org/officeDocument/2006/relationships/hyperlink" Target="https://en.m.wikipedia.org/wiki/Esophagus#cite_note-LARSEN2009-21" TargetMode="External"/><Relationship Id="rId30" Type="http://schemas.openxmlformats.org/officeDocument/2006/relationships/hyperlink" Target="https://en.m.wikipedia.org/wiki/Intestine" TargetMode="External"/><Relationship Id="rId11" Type="http://schemas.openxmlformats.org/officeDocument/2006/relationships/hyperlink" Target="https://en.m.wikipedia.org/wiki/Alveolar_cells" TargetMode="External"/><Relationship Id="rId33" Type="http://schemas.openxmlformats.org/officeDocument/2006/relationships/hyperlink" Target="https://en.m.wikipedia.org/wiki/Pharyngeal_arch" TargetMode="External"/><Relationship Id="rId10" Type="http://schemas.openxmlformats.org/officeDocument/2006/relationships/hyperlink" Target="https://en.m.wikipedia.org/wiki/Blood%E2%80%93air_barrier" TargetMode="External"/><Relationship Id="rId32" Type="http://schemas.openxmlformats.org/officeDocument/2006/relationships/hyperlink" Target="https://en.m.wikipedia.org/wiki/Esophagus#cite_note-LARSEN2009-21" TargetMode="External"/><Relationship Id="rId13" Type="http://schemas.openxmlformats.org/officeDocument/2006/relationships/hyperlink" Target="https://en.m.wikipedia.org/wiki/Alveolar_cells" TargetMode="External"/><Relationship Id="rId12" Type="http://schemas.openxmlformats.org/officeDocument/2006/relationships/hyperlink" Target="https://en.m.wikipedia.org/wiki/Gas_exchange" TargetMode="External"/><Relationship Id="rId34" Type="http://schemas.openxmlformats.org/officeDocument/2006/relationships/hyperlink" Target="https://en.m.wikipedia.org/wiki/Esophagus#cite_note-GRAYS2005-3" TargetMode="External"/><Relationship Id="rId15" Type="http://schemas.openxmlformats.org/officeDocument/2006/relationships/hyperlink" Target="https://en.m.wikipedia.org/wiki/Surface_tension" TargetMode="External"/><Relationship Id="rId14" Type="http://schemas.openxmlformats.org/officeDocument/2006/relationships/hyperlink" Target="https://en.m.wikipedia.org/wiki/Pulmonary_surfactant" TargetMode="External"/><Relationship Id="rId17" Type="http://schemas.openxmlformats.org/officeDocument/2006/relationships/hyperlink" Target="https://en.m.wikipedia.org/wiki/Endoderm" TargetMode="External"/><Relationship Id="rId16" Type="http://schemas.openxmlformats.org/officeDocument/2006/relationships/hyperlink" Target="https://en.m.wikipedia.org/wiki/Human_embryogenesis" TargetMode="External"/><Relationship Id="rId19" Type="http://schemas.openxmlformats.org/officeDocument/2006/relationships/hyperlink" Target="https://en.m.wikipedia.org/wiki/Yolk_sac" TargetMode="External"/><Relationship Id="rId18" Type="http://schemas.openxmlformats.org/officeDocument/2006/relationships/hyperlink" Target="https://en.m.wikipedia.org/wiki/Gastrointestinal_tr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