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A0CB" w14:textId="74FE33F9" w:rsidR="007426C7" w:rsidRDefault="00A04F9D" w:rsidP="00ED291C">
      <w:p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ELUYEMI AISHAH OLAMIDE</w:t>
      </w:r>
    </w:p>
    <w:p w14:paraId="571CDACE" w14:textId="500F543D" w:rsidR="00A04F9D" w:rsidRDefault="00A04F9D" w:rsidP="00ED291C">
      <w:p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19/law01/084</w:t>
      </w:r>
    </w:p>
    <w:p w14:paraId="771F87C4" w14:textId="7C23BF9D" w:rsidR="00A04F9D" w:rsidRDefault="00A04F9D" w:rsidP="00ED291C">
      <w:p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GOVERNMENT AND POLITICAL INSTITUTION</w:t>
      </w:r>
    </w:p>
    <w:p w14:paraId="027AF362" w14:textId="046211B0" w:rsidR="00A04F9D" w:rsidRDefault="00A04F9D" w:rsidP="00ED291C">
      <w:p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GST 203</w:t>
      </w:r>
    </w:p>
    <w:p w14:paraId="414D3925" w14:textId="7615E944" w:rsidR="00A04F9D" w:rsidRDefault="00A04F9D" w:rsidP="00ED291C">
      <w:p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CHAPTER 15</w:t>
      </w:r>
    </w:p>
    <w:p w14:paraId="02B7338F" w14:textId="416AE4F0" w:rsidR="00A04F9D" w:rsidRPr="00ED291C" w:rsidRDefault="00ED291C" w:rsidP="00ED291C">
      <w:p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A04F9D">
        <w:rPr>
          <w:rFonts w:ascii="Times New Roman" w:hAnsi="Times New Roman" w:cs="Times New Roman"/>
          <w:sz w:val="24"/>
          <w:szCs w:val="24"/>
          <w:lang w:val="en-US"/>
        </w:rPr>
        <w:t xml:space="preserve">   Understanding pressure group</w:t>
      </w:r>
    </w:p>
    <w:p w14:paraId="4E8013E6" w14:textId="77777777" w:rsidR="00EE7DEA" w:rsidRDefault="00A04F9D" w:rsidP="00ED291C">
      <w:p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mount pressure is to </w:t>
      </w:r>
      <w:r w:rsidR="00EE7DEA">
        <w:rPr>
          <w:rFonts w:ascii="Times New Roman" w:hAnsi="Times New Roman" w:cs="Times New Roman"/>
          <w:sz w:val="24"/>
          <w:szCs w:val="24"/>
          <w:lang w:val="en-US"/>
        </w:rPr>
        <w:t xml:space="preserve">persuade someone or coerce a person into doing something. This make a pressure group a formal or organized body with a common interest whose fundamental aim is to put pressure on any government institution with the goal of influencing government policies and laws to its own advantage. </w:t>
      </w:r>
    </w:p>
    <w:p w14:paraId="31E032F0" w14:textId="77777777" w:rsidR="00EE7DEA" w:rsidRDefault="00EE7DEA" w:rsidP="00ED291C">
      <w:p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Types of pressure groups </w:t>
      </w:r>
    </w:p>
    <w:p w14:paraId="18CD84C6" w14:textId="0C3EB9EA" w:rsidR="00EE7DEA" w:rsidRDefault="00EE7DEA" w:rsidP="00ED29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Interest group</w:t>
      </w:r>
      <w:r w:rsidR="00D15247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5F4F3EC8" w14:textId="5D6F0C24" w:rsidR="00EE7DEA" w:rsidRDefault="00EE7DEA" w:rsidP="00ED29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Cause group</w:t>
      </w:r>
      <w:r w:rsidR="00D15247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4BCACA0F" w14:textId="08319B85" w:rsidR="00EE7DEA" w:rsidRDefault="00EE7DEA" w:rsidP="00ED29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Insider group and outsider group</w:t>
      </w:r>
      <w:r w:rsidR="00D15247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1CFD612A" w14:textId="7227FA01" w:rsidR="00EE7DEA" w:rsidRDefault="00EE7DEA" w:rsidP="00ED29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Anomic group</w:t>
      </w:r>
      <w:r w:rsidR="00D1524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178766" w14:textId="68A24421" w:rsidR="00A04F9D" w:rsidRPr="00EE7DEA" w:rsidRDefault="00EE7DEA" w:rsidP="00ED29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Associational group and non-Associational groups</w:t>
      </w:r>
      <w:r w:rsidR="00A04F9D" w:rsidRPr="00EE7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DE3660" w14:textId="77777777" w:rsidR="000C70AF" w:rsidRDefault="00D15247" w:rsidP="00ED291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993">
        <w:rPr>
          <w:rFonts w:ascii="Times New Roman" w:hAnsi="Times New Roman" w:cs="Times New Roman"/>
          <w:sz w:val="32"/>
          <w:szCs w:val="32"/>
          <w:lang w:val="en-US"/>
        </w:rPr>
        <w:lastRenderedPageBreak/>
        <w:t>interest groups:</w:t>
      </w:r>
      <w:r w:rsidRPr="000C70AF">
        <w:rPr>
          <w:rFonts w:ascii="Times New Roman" w:hAnsi="Times New Roman" w:cs="Times New Roman"/>
          <w:sz w:val="24"/>
          <w:szCs w:val="24"/>
          <w:lang w:val="en-US"/>
        </w:rPr>
        <w:t xml:space="preserve"> these group is also seen as sectional </w:t>
      </w:r>
      <w:r w:rsidR="000C70A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C70AF" w:rsidRPr="000C70AF">
        <w:rPr>
          <w:rFonts w:ascii="Times New Roman" w:hAnsi="Times New Roman" w:cs="Times New Roman"/>
          <w:sz w:val="24"/>
          <w:szCs w:val="24"/>
          <w:lang w:val="en-US"/>
        </w:rPr>
        <w:t>roups, representing the people in the society. For Example, the trade unite</w:t>
      </w:r>
      <w:r w:rsidR="000C70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70AF" w:rsidRPr="000C70AF">
        <w:rPr>
          <w:rFonts w:ascii="Times New Roman" w:hAnsi="Times New Roman" w:cs="Times New Roman"/>
          <w:sz w:val="24"/>
          <w:szCs w:val="24"/>
          <w:lang w:val="en-US"/>
        </w:rPr>
        <w:t>, for instance, CBI (confederation of British Industry) known as the voice of business in the country, and in Nigeria, convention of Business Integration</w:t>
      </w:r>
      <w:r w:rsidR="000C7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0AF" w:rsidRPr="000C70AF">
        <w:rPr>
          <w:rFonts w:ascii="Times New Roman" w:hAnsi="Times New Roman" w:cs="Times New Roman"/>
          <w:sz w:val="24"/>
          <w:szCs w:val="24"/>
          <w:lang w:val="en-US"/>
        </w:rPr>
        <w:t xml:space="preserve">(CBI) </w:t>
      </w:r>
    </w:p>
    <w:p w14:paraId="30BE128E" w14:textId="77777777" w:rsidR="000C70AF" w:rsidRDefault="000C70AF" w:rsidP="00ED291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993">
        <w:rPr>
          <w:rFonts w:ascii="Times New Roman" w:hAnsi="Times New Roman" w:cs="Times New Roman"/>
          <w:sz w:val="32"/>
          <w:szCs w:val="32"/>
          <w:lang w:val="en-US"/>
        </w:rPr>
        <w:t>cause group: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these groups are promotion groups, which seek to promote particular cause; for Example, charities and environmental group</w:t>
      </w:r>
    </w:p>
    <w:p w14:paraId="22723B9F" w14:textId="77777777" w:rsidR="009A0993" w:rsidRDefault="000C70AF" w:rsidP="00ED291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993">
        <w:rPr>
          <w:rFonts w:ascii="Times New Roman" w:hAnsi="Times New Roman" w:cs="Times New Roman"/>
          <w:sz w:val="32"/>
          <w:szCs w:val="32"/>
          <w:lang w:val="en-US"/>
        </w:rPr>
        <w:t>insider groups and outside groups: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insider </w:t>
      </w:r>
      <w:r w:rsidR="009A0993">
        <w:rPr>
          <w:rFonts w:ascii="Times New Roman" w:hAnsi="Times New Roman" w:cs="Times New Roman"/>
          <w:sz w:val="24"/>
          <w:szCs w:val="24"/>
          <w:lang w:val="en-US"/>
        </w:rPr>
        <w:t>groups are regularly consulted by the government. The Nigeria Bar Association (NBA) is a good example of such groups.</w:t>
      </w:r>
    </w:p>
    <w:p w14:paraId="5174C4ED" w14:textId="77777777" w:rsidR="009A0993" w:rsidRPr="009A0993" w:rsidRDefault="009A0993" w:rsidP="00ED291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A0993">
        <w:rPr>
          <w:rFonts w:ascii="Times New Roman" w:hAnsi="Times New Roman" w:cs="Times New Roman"/>
          <w:sz w:val="32"/>
          <w:szCs w:val="32"/>
          <w:lang w:val="en-US"/>
        </w:rPr>
        <w:t>Anomic groups: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groups here have unpredictable actions and behaviour as they work based on the moment and situation in the society.</w:t>
      </w:r>
    </w:p>
    <w:p w14:paraId="3F6B5775" w14:textId="3CDDA16E" w:rsidR="000C70AF" w:rsidRPr="00ED291C" w:rsidRDefault="009A0993" w:rsidP="00ED291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Associational groups and non-associational groups: associational groups are </w:t>
      </w:r>
      <w:r w:rsidR="00ED291C">
        <w:rPr>
          <w:rFonts w:ascii="Times New Roman" w:hAnsi="Times New Roman" w:cs="Times New Roman"/>
          <w:sz w:val="24"/>
          <w:szCs w:val="24"/>
          <w:lang w:val="en-US"/>
        </w:rPr>
        <w:t>usually registered with appropriate authorities in a state or country while non-associational groups are pressure group without a formal organization.</w:t>
      </w:r>
    </w:p>
    <w:p w14:paraId="1D86D56D" w14:textId="5520D612" w:rsidR="00ED291C" w:rsidRDefault="00ED291C" w:rsidP="00ED291C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Functions of pressure group</w:t>
      </w:r>
    </w:p>
    <w:p w14:paraId="14D38C36" w14:textId="3EE976FE" w:rsidR="00ED291C" w:rsidRPr="00ED291C" w:rsidRDefault="00ED291C" w:rsidP="00ED29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Link government to people</w:t>
      </w:r>
    </w:p>
    <w:p w14:paraId="1D86B815" w14:textId="6B3F5B13" w:rsidR="00ED291C" w:rsidRPr="00ED291C" w:rsidRDefault="00ED291C" w:rsidP="00ED29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Promote participation in government </w:t>
      </w:r>
    </w:p>
    <w:p w14:paraId="7895CAE1" w14:textId="6A41FB20" w:rsidR="00ED291C" w:rsidRPr="00ED291C" w:rsidRDefault="00ED291C" w:rsidP="00ED29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Promotion of interest of minority</w:t>
      </w:r>
    </w:p>
    <w:p w14:paraId="004BDC30" w14:textId="25A3972F" w:rsidR="00ED291C" w:rsidRPr="00ED291C" w:rsidRDefault="00ED291C" w:rsidP="00ED29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Influencing legislation</w:t>
      </w:r>
    </w:p>
    <w:p w14:paraId="5086B183" w14:textId="2310C3EB" w:rsidR="00ED291C" w:rsidRPr="00ED291C" w:rsidRDefault="00ED291C" w:rsidP="00ED29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Serving as sources of information to government </w:t>
      </w:r>
    </w:p>
    <w:p w14:paraId="2006C7AA" w14:textId="3F269648" w:rsidR="00ED291C" w:rsidRDefault="00ED291C" w:rsidP="00ED291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660139C" w14:textId="6EDD1E23" w:rsidR="00ED291C" w:rsidRDefault="00ED291C" w:rsidP="00ED291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3DA1615" w14:textId="508DF6B9" w:rsidR="00ED291C" w:rsidRDefault="00ED291C" w:rsidP="00ED291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13F01E7" w14:textId="1938EDF0" w:rsidR="00ED291C" w:rsidRDefault="00ED291C" w:rsidP="00ED291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80CBCC5" w14:textId="77777777" w:rsidR="00ED291C" w:rsidRPr="009A0993" w:rsidRDefault="00ED291C" w:rsidP="00ED291C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D291C" w:rsidRPr="009A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454EE"/>
    <w:multiLevelType w:val="hybridMultilevel"/>
    <w:tmpl w:val="AD307F54"/>
    <w:lvl w:ilvl="0" w:tplc="10E43A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6CEA"/>
    <w:multiLevelType w:val="hybridMultilevel"/>
    <w:tmpl w:val="A0A088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9D"/>
    <w:rsid w:val="000C70AF"/>
    <w:rsid w:val="007426C7"/>
    <w:rsid w:val="009A0993"/>
    <w:rsid w:val="00A04F9D"/>
    <w:rsid w:val="00D15247"/>
    <w:rsid w:val="00ED291C"/>
    <w:rsid w:val="00E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9FE1"/>
  <w15:chartTrackingRefBased/>
  <w15:docId w15:val="{DE5D3A6A-357E-4EF7-B0EA-5558CB54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2</cp:revision>
  <dcterms:created xsi:type="dcterms:W3CDTF">2020-11-28T00:31:00Z</dcterms:created>
  <dcterms:modified xsi:type="dcterms:W3CDTF">2020-11-28T01:20:00Z</dcterms:modified>
</cp:coreProperties>
</file>