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lang w:val="en-GB"/>
        </w:rPr>
        <w:t xml:space="preserve">NAME:  </w:t>
      </w:r>
      <w:r>
        <w:rPr>
          <w:rFonts w:cs="Times New Roman" w:hAnsi="Times New Roman"/>
          <w:sz w:val="24"/>
          <w:szCs w:val="24"/>
          <w:u w:val="single"/>
          <w:lang w:val="en-US"/>
        </w:rPr>
        <w:t xml:space="preserve">UZODIKE FRANCIS KOSISOCHUKWU </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MATRIC NUMBER:</w:t>
      </w:r>
      <w:r>
        <w:rPr>
          <w:rFonts w:ascii="Times New Roman" w:cs="Times New Roman" w:hAnsi="Times New Roman"/>
          <w:sz w:val="24"/>
          <w:szCs w:val="24"/>
          <w:lang w:val="en-GB"/>
        </w:rPr>
        <w:t xml:space="preserve"> 19/LAW01/2</w:t>
      </w:r>
      <w:r>
        <w:rPr>
          <w:rFonts w:cs="Times New Roman" w:hAnsi="Times New Roman"/>
          <w:sz w:val="24"/>
          <w:szCs w:val="24"/>
          <w:lang w:val="en-US"/>
        </w:rPr>
        <w:t>65</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DEPARTMENT:</w:t>
      </w:r>
      <w:r>
        <w:rPr>
          <w:rFonts w:ascii="Times New Roman" w:cs="Times New Roman" w:hAnsi="Times New Roman"/>
          <w:sz w:val="24"/>
          <w:szCs w:val="24"/>
          <w:lang w:val="en-GB"/>
        </w:rPr>
        <w:t xml:space="preserve"> LAW</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 xml:space="preserve">COURSE: </w:t>
      </w:r>
      <w:r>
        <w:rPr>
          <w:rFonts w:ascii="Times New Roman" w:cs="Times New Roman" w:hAnsi="Times New Roman"/>
          <w:sz w:val="24"/>
          <w:szCs w:val="24"/>
          <w:lang w:val="en-GB"/>
        </w:rPr>
        <w:t>GOVERNMENT AND POLITICAL INSTITUTION</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 xml:space="preserve">COURSE CODE: </w:t>
      </w:r>
      <w:r>
        <w:rPr>
          <w:rFonts w:ascii="Times New Roman" w:cs="Times New Roman" w:hAnsi="Times New Roman"/>
          <w:sz w:val="24"/>
          <w:szCs w:val="24"/>
          <w:lang w:val="en-GB"/>
        </w:rPr>
        <w:t>GST 203</w:t>
      </w:r>
      <w:r>
        <w:rPr>
          <w:rFonts w:ascii="Times New Roman" w:cs="Times New Roman" w:hAnsi="Times New Roman"/>
          <w:sz w:val="24"/>
          <w:szCs w:val="24"/>
          <w:u w:val="single"/>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u w:val="single"/>
          <w:lang w:val="en-GB"/>
        </w:rPr>
        <w:t>DATE</w:t>
      </w:r>
      <w:r>
        <w:rPr>
          <w:rFonts w:ascii="Times New Roman" w:cs="Times New Roman" w:hAnsi="Times New Roman"/>
          <w:sz w:val="24"/>
          <w:szCs w:val="24"/>
          <w:lang w:val="en-GB"/>
        </w:rPr>
        <w:t>: MONDAY, 30TH NOVEMBER, 2020.</w:t>
      </w:r>
    </w:p>
    <w:p>
      <w:pPr>
        <w:pStyle w:val="style0"/>
        <w:jc w:val="both"/>
        <w:rPr>
          <w:rFonts w:ascii="Times New Roman" w:cs="Times New Roman" w:hAnsi="Times New Roman"/>
          <w:sz w:val="24"/>
          <w:szCs w:val="24"/>
          <w:u w:val="single"/>
          <w:lang w:val="en-GB"/>
        </w:rPr>
      </w:pPr>
      <w:r>
        <w:rPr>
          <w:rFonts w:ascii="Times New Roman" w:cs="Times New Roman" w:hAnsi="Times New Roman"/>
          <w:sz w:val="24"/>
          <w:szCs w:val="24"/>
          <w:lang w:val="en-GB"/>
        </w:rPr>
        <w:t xml:space="preserve">                                                             </w:t>
      </w:r>
      <w:r>
        <w:rPr>
          <w:rFonts w:ascii="Times New Roman" w:cs="Times New Roman" w:hAnsi="Times New Roman"/>
          <w:sz w:val="24"/>
          <w:szCs w:val="24"/>
          <w:u w:val="single"/>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In about 2-Page review of Chapter 15, “An Overview of the Pressure Group”</w:t>
      </w:r>
      <w:r>
        <w:t xml:space="preserve"> </w:t>
      </w:r>
      <w:r>
        <w:rPr>
          <w:rFonts w:ascii="Times New Roman" w:cs="Times New Roman" w:hAnsi="Times New Roman"/>
          <w:sz w:val="24"/>
          <w:szCs w:val="24"/>
          <w:lang w:val="en-GB"/>
        </w:rPr>
        <w:t>in Salient Issues in Government and N</w:t>
      </w:r>
      <w:r>
        <w:rPr>
          <w:rFonts w:ascii="Times New Roman" w:cs="Times New Roman" w:hAnsi="Times New Roman"/>
          <w:sz w:val="24"/>
          <w:szCs w:val="24"/>
          <w:lang w:val="en-GB"/>
        </w:rPr>
        <w:t>igerian Politics, Pages 194-200.</w:t>
      </w:r>
    </w:p>
    <w:p>
      <w:pPr>
        <w:pStyle w:val="style0"/>
        <w:jc w:val="both"/>
        <w:rPr>
          <w:rFonts w:ascii="Times New Roman" w:cs="Times New Roman" w:hAnsi="Times New Roman"/>
          <w:sz w:val="24"/>
          <w:szCs w:val="24"/>
          <w:u w:val="single"/>
          <w:lang w:val="en-GB"/>
        </w:rPr>
      </w:pPr>
      <w:r>
        <w:rPr>
          <w:rFonts w:ascii="Times New Roman" w:cs="Times New Roman" w:hAnsi="Times New Roman"/>
          <w:sz w:val="24"/>
          <w:szCs w:val="24"/>
          <w:lang w:val="en-GB"/>
        </w:rPr>
        <w:t xml:space="preserve">                                                                  </w:t>
      </w:r>
      <w:r>
        <w:rPr>
          <w:rFonts w:ascii="Times New Roman" w:cs="Times New Roman" w:hAnsi="Times New Roman"/>
          <w:sz w:val="24"/>
          <w:szCs w:val="24"/>
          <w:u w:val="single"/>
          <w:lang w:val="en-GB"/>
        </w:rPr>
        <w:t>ANSWERS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Pressure </w:t>
      </w:r>
      <w:r>
        <w:rPr>
          <w:rFonts w:ascii="Times New Roman" w:cs="Times New Roman" w:hAnsi="Times New Roman"/>
          <w:sz w:val="24"/>
          <w:szCs w:val="24"/>
          <w:lang w:val="en-GB"/>
        </w:rPr>
        <w:t>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According to Anifowose (1999) pressure groups is described as “interest groups, lobby groups or even protest groups”. Pressure groups came into existence to complement, enhance and protect the interest of its members or groups</w:t>
      </w:r>
      <w:r>
        <w:rPr>
          <w:rFonts w:ascii="Times New Roman" w:cs="Times New Roman" w:hAnsi="Times New Roman"/>
          <w:sz w:val="24"/>
          <w:szCs w:val="24"/>
          <w:lang w:val="en-GB"/>
        </w:rPr>
        <w:t xml:space="preserve">. </w:t>
      </w:r>
      <w:bookmarkStart w:id="0" w:name="_GoBack"/>
      <w:bookmarkEnd w:id="0"/>
      <w:r>
        <w:rPr>
          <w:rFonts w:ascii="Times New Roman" w:cs="Times New Roman" w:hAnsi="Times New Roman"/>
          <w:sz w:val="24"/>
          <w:szCs w:val="24"/>
          <w:lang w:val="en-GB"/>
        </w:rPr>
        <w:t xml:space="preserve">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w:t>
      </w:r>
      <w:r>
        <w:rPr>
          <w:rFonts w:ascii="Times New Roman" w:cs="Times New Roman" w:hAnsi="Times New Roman"/>
          <w:sz w:val="24"/>
          <w:szCs w:val="24"/>
          <w:lang w:val="en-GB"/>
        </w:rPr>
        <w:t xml:space="preserve">groups may align their interests with that of certain political parties that are believed to possess the capacity to further their interests.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Pressure groups are classified into different types namely </w:t>
      </w:r>
      <w:r>
        <w:rPr>
          <w:rFonts w:ascii="Times New Roman" w:cs="Times New Roman" w:hAnsi="Times New Roman"/>
          <w:sz w:val="24"/>
          <w:szCs w:val="24"/>
          <w:lang w:val="en-GB"/>
        </w:rPr>
        <w:t xml:space="preserve">i) </w:t>
      </w:r>
      <w:r>
        <w:rPr>
          <w:rFonts w:ascii="Times New Roman" w:cs="Times New Roman" w:hAnsi="Times New Roman"/>
          <w:sz w:val="24"/>
          <w:szCs w:val="24"/>
          <w:lang w:val="en-GB"/>
        </w:rPr>
        <w:t xml:space="preserve">Interest groups, </w:t>
      </w:r>
      <w:r>
        <w:rPr>
          <w:rFonts w:ascii="Times New Roman" w:cs="Times New Roman" w:hAnsi="Times New Roman"/>
          <w:sz w:val="24"/>
          <w:szCs w:val="24"/>
          <w:lang w:val="en-GB"/>
        </w:rPr>
        <w:t xml:space="preserve">ii) </w:t>
      </w:r>
      <w:r>
        <w:rPr>
          <w:rFonts w:ascii="Times New Roman" w:cs="Times New Roman" w:hAnsi="Times New Roman"/>
          <w:sz w:val="24"/>
          <w:szCs w:val="24"/>
          <w:lang w:val="en-GB"/>
        </w:rPr>
        <w:t xml:space="preserve">Cause groups, </w:t>
      </w:r>
      <w:r>
        <w:rPr>
          <w:rFonts w:ascii="Times New Roman" w:cs="Times New Roman" w:hAnsi="Times New Roman"/>
          <w:sz w:val="24"/>
          <w:szCs w:val="24"/>
          <w:lang w:val="en-GB"/>
        </w:rPr>
        <w:t xml:space="preserve">iii) </w:t>
      </w:r>
      <w:r>
        <w:rPr>
          <w:rFonts w:ascii="Times New Roman" w:cs="Times New Roman" w:hAnsi="Times New Roman"/>
          <w:sz w:val="24"/>
          <w:szCs w:val="24"/>
          <w:lang w:val="en-GB"/>
        </w:rPr>
        <w:t xml:space="preserve">Insider and Outsider groups, </w:t>
      </w:r>
      <w:r>
        <w:rPr>
          <w:rFonts w:ascii="Times New Roman" w:cs="Times New Roman" w:hAnsi="Times New Roman"/>
          <w:sz w:val="24"/>
          <w:szCs w:val="24"/>
          <w:lang w:val="en-GB"/>
        </w:rPr>
        <w:t xml:space="preserve">iv) </w:t>
      </w:r>
      <w:r>
        <w:rPr>
          <w:rFonts w:ascii="Times New Roman" w:cs="Times New Roman" w:hAnsi="Times New Roman"/>
          <w:sz w:val="24"/>
          <w:szCs w:val="24"/>
          <w:lang w:val="en-GB"/>
        </w:rPr>
        <w:t xml:space="preserve">Anomic groups, </w:t>
      </w:r>
      <w:r>
        <w:rPr>
          <w:rFonts w:ascii="Times New Roman" w:cs="Times New Roman" w:hAnsi="Times New Roman"/>
          <w:sz w:val="24"/>
          <w:szCs w:val="24"/>
          <w:lang w:val="en-GB"/>
        </w:rPr>
        <w:t xml:space="preserve">v) </w:t>
      </w:r>
      <w:r>
        <w:rPr>
          <w:rFonts w:ascii="Times New Roman" w:cs="Times New Roman" w:hAnsi="Times New Roman"/>
          <w:sz w:val="24"/>
          <w:szCs w:val="24"/>
          <w:lang w:val="en-GB"/>
        </w:rPr>
        <w:t xml:space="preserve">Associational and non-associational groups. </w:t>
      </w:r>
      <w:r>
        <w:rPr>
          <w:rFonts w:ascii="Times New Roman" w:cs="Times New Roman" w:hAnsi="Times New Roman"/>
          <w:sz w:val="24"/>
          <w:szCs w:val="24"/>
          <w:lang w:val="en-GB"/>
        </w:rPr>
        <w:t xml:space="preserve">(i) </w:t>
      </w:r>
      <w:r>
        <w:rPr>
          <w:rFonts w:ascii="Times New Roman" w:cs="Times New Roman" w:hAnsi="Times New Roman"/>
          <w:b/>
          <w:sz w:val="24"/>
          <w:szCs w:val="24"/>
          <w:lang w:val="en-GB"/>
        </w:rPr>
        <w:t>The Interest Groups</w:t>
      </w:r>
      <w:r>
        <w:rPr>
          <w:rFonts w:ascii="Times New Roman" w:cs="Times New Roman" w:hAnsi="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(ii) </w:t>
      </w:r>
      <w:r>
        <w:rPr>
          <w:rFonts w:ascii="Times New Roman" w:cs="Times New Roman" w:hAnsi="Times New Roman"/>
          <w:b/>
          <w:sz w:val="24"/>
          <w:szCs w:val="24"/>
          <w:lang w:val="en-GB"/>
        </w:rPr>
        <w:t>The</w:t>
      </w:r>
      <w:r>
        <w:rPr>
          <w:rFonts w:ascii="Times New Roman" w:cs="Times New Roman" w:hAnsi="Times New Roman"/>
          <w:sz w:val="24"/>
          <w:szCs w:val="24"/>
          <w:lang w:val="en-GB"/>
        </w:rPr>
        <w:t xml:space="preserve"> </w:t>
      </w:r>
      <w:r>
        <w:rPr>
          <w:rFonts w:ascii="Times New Roman" w:cs="Times New Roman" w:hAnsi="Times New Roman"/>
          <w:b/>
          <w:sz w:val="24"/>
          <w:szCs w:val="24"/>
          <w:lang w:val="en-GB"/>
        </w:rPr>
        <w:t>Cause Groups</w:t>
      </w:r>
      <w:r>
        <w:rPr>
          <w:rFonts w:ascii="Times New Roman" w:cs="Times New Roman" w:hAnsi="Times New Roman"/>
          <w:sz w:val="24"/>
          <w:szCs w:val="24"/>
          <w:lang w:val="en-GB"/>
        </w:rPr>
        <w:t xml:space="preserve"> are promotion groups which seek to promote particular causes i.e. charities and environmental groups. </w:t>
      </w:r>
      <w:r>
        <w:rPr>
          <w:rFonts w:ascii="Times New Roman" w:cs="Times New Roman" w:hAnsi="Times New Roman"/>
          <w:sz w:val="24"/>
          <w:szCs w:val="24"/>
          <w:lang w:val="en-GB"/>
        </w:rPr>
        <w:t>(iii)</w:t>
      </w:r>
      <w:r>
        <w:rPr>
          <w:rFonts w:ascii="Times New Roman" w:cs="Times New Roman" w:hAnsi="Times New Roman"/>
          <w:b/>
          <w:sz w:val="24"/>
          <w:szCs w:val="24"/>
          <w:lang w:val="en-GB"/>
        </w:rPr>
        <w:t>Insider Groups</w:t>
      </w:r>
      <w:r>
        <w:rPr>
          <w:rFonts w:ascii="Times New Roman" w:cs="Times New Roman" w:hAnsi="Times New Roman"/>
          <w:sz w:val="24"/>
          <w:szCs w:val="24"/>
          <w:lang w:val="en-GB"/>
        </w:rPr>
        <w:t xml:space="preserve"> are regularly consulted by the government. They have regular access to ministers and legislators. The Nigerian Bar Association (NBA) is an example. On the other hand, </w:t>
      </w:r>
      <w:r>
        <w:rPr>
          <w:rFonts w:ascii="Times New Roman" w:cs="Times New Roman" w:hAnsi="Times New Roman"/>
          <w:b/>
          <w:sz w:val="24"/>
          <w:szCs w:val="24"/>
          <w:lang w:val="en-GB"/>
        </w:rPr>
        <w:t>Outsider G</w:t>
      </w:r>
      <w:r>
        <w:rPr>
          <w:rFonts w:ascii="Times New Roman" w:cs="Times New Roman" w:hAnsi="Times New Roman"/>
          <w:b/>
          <w:sz w:val="24"/>
          <w:szCs w:val="24"/>
          <w:lang w:val="en-GB"/>
        </w:rPr>
        <w:t>roups</w:t>
      </w:r>
      <w:r>
        <w:rPr>
          <w:rFonts w:ascii="Times New Roman" w:cs="Times New Roman" w:hAnsi="Times New Roman"/>
          <w:sz w:val="24"/>
          <w:szCs w:val="24"/>
          <w:lang w:val="en-GB"/>
        </w:rPr>
        <w:t xml:space="preserve"> have no access to government or its machineries. They have to use ways to impact. Example of this set is the Animal Liberation Front, which argues for earth exploitation and destruction. </w:t>
      </w:r>
      <w:r>
        <w:rPr>
          <w:rFonts w:ascii="Times New Roman" w:cs="Times New Roman" w:hAnsi="Times New Roman"/>
          <w:sz w:val="24"/>
          <w:szCs w:val="24"/>
          <w:lang w:val="en-GB"/>
        </w:rPr>
        <w:t xml:space="preserve">(iv) </w:t>
      </w:r>
      <w:r>
        <w:rPr>
          <w:rFonts w:ascii="Times New Roman" w:cs="Times New Roman" w:hAnsi="Times New Roman"/>
          <w:b/>
          <w:sz w:val="24"/>
          <w:szCs w:val="24"/>
          <w:lang w:val="en-GB"/>
        </w:rPr>
        <w:t>Anomic Groups</w:t>
      </w:r>
      <w:r>
        <w:rPr>
          <w:rFonts w:ascii="Times New Roman" w:cs="Times New Roman" w:hAnsi="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Pr>
          <w:rFonts w:ascii="Times New Roman" w:cs="Times New Roman" w:hAnsi="Times New Roman"/>
          <w:sz w:val="24"/>
          <w:szCs w:val="24"/>
          <w:lang w:val="en-GB"/>
        </w:rPr>
        <w:t xml:space="preserve">(v) </w:t>
      </w:r>
      <w:r>
        <w:rPr>
          <w:rFonts w:ascii="Times New Roman" w:cs="Times New Roman" w:hAnsi="Times New Roman"/>
          <w:b/>
          <w:sz w:val="24"/>
          <w:szCs w:val="24"/>
          <w:lang w:val="en-GB"/>
        </w:rPr>
        <w:t>Associational Groups</w:t>
      </w:r>
      <w:r>
        <w:rPr>
          <w:rFonts w:ascii="Times New Roman" w:cs="Times New Roman" w:hAnsi="Times New Roman"/>
          <w:sz w:val="24"/>
          <w:szCs w:val="24"/>
          <w:lang w:val="en-GB"/>
        </w:rPr>
        <w:t xml:space="preserve"> are usually registered with appropriate authorities in a State or Country. They have their own registered offices. On the other hand, </w:t>
      </w:r>
      <w:r>
        <w:rPr>
          <w:rFonts w:ascii="Times New Roman" w:cs="Times New Roman" w:hAnsi="Times New Roman"/>
          <w:b/>
          <w:sz w:val="24"/>
          <w:szCs w:val="24"/>
          <w:lang w:val="en-GB"/>
        </w:rPr>
        <w:t>Non-Associational Groups</w:t>
      </w:r>
      <w:r>
        <w:rPr>
          <w:rFonts w:ascii="Times New Roman" w:cs="Times New Roman" w:hAnsi="Times New Roman"/>
          <w:sz w:val="24"/>
          <w:szCs w:val="24"/>
          <w:lang w:val="en-GB"/>
        </w:rPr>
        <w:t xml:space="preserve"> are groups without a formal organization. Their arrangements and gathering are by virtue of kinship or family attachment, social tradition and so on.</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Words>859</Words>
  <Pages>2</Pages>
  <Characters>4919</Characters>
  <Application>WPS Office</Application>
  <DocSecurity>0</DocSecurity>
  <Paragraphs>15</Paragraphs>
  <ScaleCrop>false</ScaleCrop>
  <Company>HP</Company>
  <LinksUpToDate>false</LinksUpToDate>
  <CharactersWithSpaces>5946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2020-11-28T19:39:00Z</dcterms:created>
  <dc:creator>MICHAEL</dc:creator>
  <lastModifiedBy>SM-A207F</lastModifiedBy>
  <dcterms:modified xsi:type="dcterms:W3CDTF">2020-12-01T09:25:01Z</dcterms:modified>
  <revision>3</revision>
</coreProperties>
</file>

<file path=docProps/custom.xml><?xml version="1.0" encoding="utf-8"?>
<Properties xmlns="http://schemas.openxmlformats.org/officeDocument/2006/custom-properties" xmlns:vt="http://schemas.openxmlformats.org/officeDocument/2006/docPropsVTypes"/>
</file>