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91C" w:rsidRPr="006C4555" w:rsidRDefault="00A2191C" w:rsidP="00A2191C">
      <w:pPr>
        <w:rPr>
          <w:rFonts w:ascii="Times New Roman" w:hAnsi="Times New Roman" w:cs="Times New Roman"/>
          <w:b/>
          <w:sz w:val="52"/>
          <w:szCs w:val="52"/>
        </w:rPr>
      </w:pPr>
      <w:r w:rsidRPr="006C4555">
        <w:rPr>
          <w:rFonts w:ascii="Times New Roman" w:hAnsi="Times New Roman" w:cs="Times New Roman"/>
          <w:b/>
          <w:sz w:val="52"/>
          <w:szCs w:val="52"/>
        </w:rPr>
        <w:t>UKAEGBU TOCHUKWU LEONARD</w:t>
      </w:r>
    </w:p>
    <w:p w:rsidR="00A2191C" w:rsidRPr="006C4555" w:rsidRDefault="00A2191C" w:rsidP="00A2191C">
      <w:pPr>
        <w:rPr>
          <w:rFonts w:ascii="Times New Roman" w:hAnsi="Times New Roman" w:cs="Times New Roman"/>
          <w:b/>
          <w:sz w:val="52"/>
          <w:szCs w:val="52"/>
        </w:rPr>
      </w:pPr>
      <w:r w:rsidRPr="006C4555">
        <w:rPr>
          <w:rFonts w:ascii="Times New Roman" w:hAnsi="Times New Roman" w:cs="Times New Roman"/>
          <w:b/>
          <w:sz w:val="52"/>
          <w:szCs w:val="52"/>
        </w:rPr>
        <w:t>LAW</w:t>
      </w:r>
    </w:p>
    <w:p w:rsidR="00A2191C" w:rsidRPr="006C4555" w:rsidRDefault="00A2191C" w:rsidP="00A2191C">
      <w:pPr>
        <w:rPr>
          <w:rFonts w:ascii="Times New Roman" w:hAnsi="Times New Roman" w:cs="Times New Roman"/>
          <w:b/>
          <w:sz w:val="52"/>
          <w:szCs w:val="52"/>
        </w:rPr>
      </w:pPr>
      <w:r w:rsidRPr="006C4555">
        <w:rPr>
          <w:rFonts w:ascii="Times New Roman" w:hAnsi="Times New Roman" w:cs="Times New Roman"/>
          <w:b/>
          <w:sz w:val="52"/>
          <w:szCs w:val="52"/>
        </w:rPr>
        <w:t>18/LAW01/207</w:t>
      </w:r>
    </w:p>
    <w:p w:rsidR="005E5F46" w:rsidRPr="006C4555" w:rsidRDefault="00A2191C">
      <w:pPr>
        <w:rPr>
          <w:rFonts w:ascii="Times New Roman" w:hAnsi="Times New Roman" w:cs="Times New Roman"/>
          <w:b/>
          <w:sz w:val="52"/>
          <w:szCs w:val="52"/>
        </w:rPr>
      </w:pPr>
      <w:r w:rsidRPr="006C4555">
        <w:rPr>
          <w:rFonts w:ascii="Times New Roman" w:hAnsi="Times New Roman" w:cs="Times New Roman"/>
          <w:b/>
          <w:sz w:val="52"/>
          <w:szCs w:val="52"/>
        </w:rPr>
        <w:t>LAW OF TORT</w:t>
      </w:r>
      <w:r w:rsidR="006C4555" w:rsidRPr="006C4555">
        <w:rPr>
          <w:rFonts w:ascii="Times New Roman" w:hAnsi="Times New Roman" w:cs="Times New Roman"/>
          <w:b/>
          <w:sz w:val="52"/>
          <w:szCs w:val="52"/>
        </w:rPr>
        <w:t>S</w:t>
      </w:r>
      <w:r w:rsidRPr="006C4555">
        <w:rPr>
          <w:rFonts w:ascii="Times New Roman" w:hAnsi="Times New Roman" w:cs="Times New Roman"/>
          <w:b/>
          <w:sz w:val="52"/>
          <w:szCs w:val="52"/>
        </w:rPr>
        <w:t xml:space="preserve"> ASSIGNMENT</w:t>
      </w:r>
    </w:p>
    <w:p w:rsidR="00A2191C" w:rsidRDefault="00A2191C">
      <w:pPr>
        <w:rPr>
          <w:rFonts w:ascii="Times New Roman" w:hAnsi="Times New Roman" w:cs="Times New Roman"/>
          <w:b/>
          <w:i/>
          <w:sz w:val="52"/>
          <w:szCs w:val="52"/>
        </w:rPr>
      </w:pPr>
    </w:p>
    <w:p w:rsidR="00A2191C" w:rsidRDefault="00A2191C">
      <w:pPr>
        <w:rPr>
          <w:rFonts w:ascii="Times New Roman" w:hAnsi="Times New Roman" w:cs="Times New Roman"/>
          <w:b/>
          <w:i/>
          <w:sz w:val="52"/>
          <w:szCs w:val="52"/>
        </w:rPr>
      </w:pPr>
    </w:p>
    <w:p w:rsidR="00A2191C" w:rsidRDefault="00A2191C">
      <w:pPr>
        <w:rPr>
          <w:rFonts w:ascii="Times New Roman" w:hAnsi="Times New Roman" w:cs="Times New Roman"/>
          <w:b/>
          <w:i/>
          <w:sz w:val="52"/>
          <w:szCs w:val="52"/>
        </w:rPr>
      </w:pPr>
    </w:p>
    <w:p w:rsidR="00A2191C" w:rsidRDefault="00A2191C">
      <w:pPr>
        <w:rPr>
          <w:rFonts w:ascii="Times New Roman" w:hAnsi="Times New Roman" w:cs="Times New Roman"/>
          <w:b/>
          <w:i/>
          <w:sz w:val="52"/>
          <w:szCs w:val="52"/>
        </w:rPr>
      </w:pPr>
    </w:p>
    <w:p w:rsidR="00A2191C" w:rsidRDefault="00A2191C">
      <w:pPr>
        <w:rPr>
          <w:rFonts w:ascii="Times New Roman" w:hAnsi="Times New Roman" w:cs="Times New Roman"/>
          <w:b/>
          <w:i/>
          <w:sz w:val="52"/>
          <w:szCs w:val="52"/>
        </w:rPr>
      </w:pPr>
    </w:p>
    <w:p w:rsidR="00A2191C" w:rsidRDefault="00A2191C">
      <w:pPr>
        <w:rPr>
          <w:rFonts w:ascii="Times New Roman" w:hAnsi="Times New Roman" w:cs="Times New Roman"/>
          <w:b/>
          <w:i/>
          <w:sz w:val="52"/>
          <w:szCs w:val="52"/>
        </w:rPr>
      </w:pPr>
    </w:p>
    <w:p w:rsidR="00A2191C" w:rsidRDefault="00A2191C">
      <w:pPr>
        <w:rPr>
          <w:rFonts w:ascii="Times New Roman" w:hAnsi="Times New Roman" w:cs="Times New Roman"/>
          <w:b/>
          <w:i/>
          <w:sz w:val="52"/>
          <w:szCs w:val="52"/>
        </w:rPr>
      </w:pPr>
    </w:p>
    <w:p w:rsidR="00A2191C" w:rsidRDefault="00A2191C">
      <w:pPr>
        <w:rPr>
          <w:rFonts w:ascii="Times New Roman" w:hAnsi="Times New Roman" w:cs="Times New Roman"/>
          <w:b/>
          <w:i/>
          <w:sz w:val="52"/>
          <w:szCs w:val="52"/>
        </w:rPr>
      </w:pPr>
    </w:p>
    <w:p w:rsidR="00A2191C" w:rsidRDefault="00A2191C">
      <w:pPr>
        <w:rPr>
          <w:rFonts w:ascii="Times New Roman" w:hAnsi="Times New Roman" w:cs="Times New Roman"/>
          <w:b/>
          <w:i/>
          <w:sz w:val="52"/>
          <w:szCs w:val="52"/>
        </w:rPr>
      </w:pPr>
    </w:p>
    <w:p w:rsidR="00A2191C" w:rsidRDefault="00A2191C">
      <w:pPr>
        <w:rPr>
          <w:rFonts w:ascii="Times New Roman" w:hAnsi="Times New Roman" w:cs="Times New Roman"/>
          <w:b/>
          <w:i/>
          <w:sz w:val="52"/>
          <w:szCs w:val="52"/>
        </w:rPr>
      </w:pPr>
    </w:p>
    <w:p w:rsidR="00A2191C" w:rsidRDefault="00A2191C">
      <w:pPr>
        <w:rPr>
          <w:rFonts w:ascii="Times New Roman" w:hAnsi="Times New Roman" w:cs="Times New Roman"/>
          <w:b/>
          <w:i/>
          <w:sz w:val="24"/>
          <w:szCs w:val="24"/>
        </w:rPr>
      </w:pPr>
    </w:p>
    <w:p w:rsidR="00A2191C" w:rsidRDefault="00A2191C">
      <w:pPr>
        <w:rPr>
          <w:rFonts w:ascii="Times New Roman" w:hAnsi="Times New Roman" w:cs="Times New Roman"/>
          <w:b/>
          <w:sz w:val="24"/>
          <w:szCs w:val="24"/>
        </w:rPr>
      </w:pPr>
      <w:r>
        <w:rPr>
          <w:rFonts w:ascii="Times New Roman" w:hAnsi="Times New Roman" w:cs="Times New Roman"/>
          <w:b/>
          <w:sz w:val="24"/>
          <w:szCs w:val="24"/>
        </w:rPr>
        <w:lastRenderedPageBreak/>
        <w:t>THE TORT OF TRESPASS TO CHATTEL IS MADE UP OF; TRESPASS TO CHATTEL, CONVERSION AND DETINUE. DISCUSS THE ABOVE AND SUPPORT WITH CASE LAW.</w:t>
      </w:r>
    </w:p>
    <w:p w:rsidR="00B75AD7" w:rsidRPr="00B75AD7" w:rsidRDefault="00B75AD7">
      <w:pPr>
        <w:rPr>
          <w:rFonts w:ascii="Times New Roman" w:hAnsi="Times New Roman" w:cs="Times New Roman"/>
          <w:b/>
          <w:sz w:val="24"/>
          <w:szCs w:val="24"/>
        </w:rPr>
      </w:pPr>
      <w:r w:rsidRPr="00B75AD7">
        <w:rPr>
          <w:rFonts w:ascii="Times New Roman" w:hAnsi="Times New Roman" w:cs="Times New Roman"/>
          <w:b/>
          <w:sz w:val="24"/>
          <w:szCs w:val="24"/>
        </w:rPr>
        <w:t>TRESPASS TO CH</w:t>
      </w:r>
      <w:r w:rsidR="00A2191C" w:rsidRPr="00B75AD7">
        <w:rPr>
          <w:rFonts w:ascii="Times New Roman" w:hAnsi="Times New Roman" w:cs="Times New Roman"/>
          <w:b/>
          <w:sz w:val="24"/>
          <w:szCs w:val="24"/>
        </w:rPr>
        <w:t>A</w:t>
      </w:r>
      <w:r w:rsidRPr="00B75AD7">
        <w:rPr>
          <w:rFonts w:ascii="Times New Roman" w:hAnsi="Times New Roman" w:cs="Times New Roman"/>
          <w:b/>
          <w:sz w:val="24"/>
          <w:szCs w:val="24"/>
        </w:rPr>
        <w:t>TTEL</w:t>
      </w:r>
    </w:p>
    <w:p w:rsidR="00A2191C" w:rsidRDefault="00A2191C">
      <w:pPr>
        <w:rPr>
          <w:rFonts w:ascii="Times New Roman" w:hAnsi="Times New Roman" w:cs="Times New Roman"/>
          <w:sz w:val="24"/>
          <w:szCs w:val="24"/>
        </w:rPr>
      </w:pPr>
      <w:r>
        <w:rPr>
          <w:rFonts w:ascii="Times New Roman" w:hAnsi="Times New Roman" w:cs="Times New Roman"/>
          <w:sz w:val="24"/>
          <w:szCs w:val="24"/>
        </w:rPr>
        <w:t xml:space="preserve"> </w:t>
      </w:r>
      <w:r w:rsidR="00B75AD7">
        <w:rPr>
          <w:rFonts w:ascii="Times New Roman" w:hAnsi="Times New Roman" w:cs="Times New Roman"/>
          <w:sz w:val="24"/>
          <w:szCs w:val="24"/>
        </w:rPr>
        <w:t>Chattel</w:t>
      </w:r>
      <w:r>
        <w:rPr>
          <w:rFonts w:ascii="Times New Roman" w:hAnsi="Times New Roman" w:cs="Times New Roman"/>
          <w:sz w:val="24"/>
          <w:szCs w:val="24"/>
        </w:rPr>
        <w:t xml:space="preserve"> is any personal moveable property other than a human being, land and immovable property, capable of being owned</w:t>
      </w:r>
      <w:r w:rsidR="00EC2254">
        <w:rPr>
          <w:rFonts w:ascii="Times New Roman" w:hAnsi="Times New Roman" w:cs="Times New Roman"/>
          <w:sz w:val="24"/>
          <w:szCs w:val="24"/>
        </w:rPr>
        <w:t xml:space="preserve"> or</w:t>
      </w:r>
      <w:r>
        <w:rPr>
          <w:rFonts w:ascii="Times New Roman" w:hAnsi="Times New Roman" w:cs="Times New Roman"/>
          <w:sz w:val="24"/>
          <w:szCs w:val="24"/>
        </w:rPr>
        <w:t xml:space="preserve"> possessed.</w:t>
      </w:r>
      <w:r>
        <w:rPr>
          <w:rStyle w:val="EndnoteReference"/>
          <w:rFonts w:ascii="Times New Roman" w:hAnsi="Times New Roman" w:cs="Times New Roman"/>
          <w:sz w:val="24"/>
          <w:szCs w:val="24"/>
        </w:rPr>
        <w:endnoteReference w:id="2"/>
      </w:r>
      <w:r>
        <w:rPr>
          <w:rFonts w:ascii="Times New Roman" w:hAnsi="Times New Roman" w:cs="Times New Roman"/>
          <w:sz w:val="24"/>
          <w:szCs w:val="24"/>
        </w:rPr>
        <w:t xml:space="preserve"> </w:t>
      </w:r>
    </w:p>
    <w:p w:rsidR="002957B6" w:rsidRDefault="00A2191C">
      <w:pPr>
        <w:rPr>
          <w:rFonts w:ascii="Times New Roman" w:hAnsi="Times New Roman" w:cs="Times New Roman"/>
          <w:sz w:val="24"/>
          <w:szCs w:val="24"/>
        </w:rPr>
      </w:pPr>
      <w:r>
        <w:rPr>
          <w:rFonts w:ascii="Times New Roman" w:hAnsi="Times New Roman" w:cs="Times New Roman"/>
          <w:sz w:val="24"/>
          <w:szCs w:val="24"/>
        </w:rPr>
        <w:t>Trespass to chattel,</w:t>
      </w:r>
      <w:r w:rsidR="00E21DF0">
        <w:rPr>
          <w:rFonts w:ascii="Times New Roman" w:hAnsi="Times New Roman" w:cs="Times New Roman"/>
          <w:sz w:val="24"/>
          <w:szCs w:val="24"/>
        </w:rPr>
        <w:t xml:space="preserve"> is direct, intentional and unlawful interference with another person’s personal property. The interference can be intentional or negligent, and such interference has to h</w:t>
      </w:r>
      <w:r w:rsidR="00EC2254">
        <w:rPr>
          <w:rFonts w:ascii="Times New Roman" w:hAnsi="Times New Roman" w:cs="Times New Roman"/>
          <w:sz w:val="24"/>
          <w:szCs w:val="24"/>
        </w:rPr>
        <w:t xml:space="preserve">appen </w:t>
      </w:r>
      <w:r w:rsidR="00E21DF0">
        <w:rPr>
          <w:rFonts w:ascii="Times New Roman" w:hAnsi="Times New Roman" w:cs="Times New Roman"/>
          <w:sz w:val="24"/>
          <w:szCs w:val="24"/>
        </w:rPr>
        <w:t xml:space="preserve">without lawful justification. Thus, taking away of a chattel, Destruction or any act of damage, </w:t>
      </w:r>
      <w:r w:rsidR="00EC2254">
        <w:rPr>
          <w:rFonts w:ascii="Times New Roman" w:hAnsi="Times New Roman" w:cs="Times New Roman"/>
          <w:sz w:val="24"/>
          <w:szCs w:val="24"/>
        </w:rPr>
        <w:t>throwing</w:t>
      </w:r>
      <w:r w:rsidR="00E21DF0">
        <w:rPr>
          <w:rFonts w:ascii="Times New Roman" w:hAnsi="Times New Roman" w:cs="Times New Roman"/>
          <w:sz w:val="24"/>
          <w:szCs w:val="24"/>
        </w:rPr>
        <w:t xml:space="preserve"> something at the chattel, use of chattel without permission can amount to Trespass to chattel.</w:t>
      </w:r>
      <w:r w:rsidR="00CA1AEE">
        <w:rPr>
          <w:rFonts w:ascii="Times New Roman" w:hAnsi="Times New Roman" w:cs="Times New Roman"/>
          <w:sz w:val="24"/>
          <w:szCs w:val="24"/>
        </w:rPr>
        <w:t xml:space="preserve"> </w:t>
      </w:r>
      <w:r w:rsidR="00E21DF0">
        <w:rPr>
          <w:rFonts w:ascii="Times New Roman" w:hAnsi="Times New Roman" w:cs="Times New Roman"/>
          <w:sz w:val="24"/>
          <w:szCs w:val="24"/>
        </w:rPr>
        <w:t xml:space="preserve">The purpose of the </w:t>
      </w:r>
      <w:r w:rsidR="002957B6">
        <w:rPr>
          <w:rFonts w:ascii="Times New Roman" w:hAnsi="Times New Roman" w:cs="Times New Roman"/>
          <w:sz w:val="24"/>
          <w:szCs w:val="24"/>
        </w:rPr>
        <w:t xml:space="preserve">tort of trespass to </w:t>
      </w:r>
      <w:r w:rsidR="00CA1AEE">
        <w:rPr>
          <w:rFonts w:ascii="Times New Roman" w:hAnsi="Times New Roman" w:cs="Times New Roman"/>
          <w:sz w:val="24"/>
          <w:szCs w:val="24"/>
        </w:rPr>
        <w:t>chattel</w:t>
      </w:r>
      <w:r w:rsidR="002957B6">
        <w:rPr>
          <w:rFonts w:ascii="Times New Roman" w:hAnsi="Times New Roman" w:cs="Times New Roman"/>
          <w:sz w:val="24"/>
          <w:szCs w:val="24"/>
        </w:rPr>
        <w:t xml:space="preserve"> is to protect all the chattel, goods and personal property, of a person who has possession, from all wrongful interferences, damage, destruction etc without lawful justification</w:t>
      </w:r>
      <w:r w:rsidR="002957B6">
        <w:rPr>
          <w:rStyle w:val="EndnoteReference"/>
          <w:rFonts w:ascii="Times New Roman" w:hAnsi="Times New Roman" w:cs="Times New Roman"/>
          <w:sz w:val="24"/>
          <w:szCs w:val="24"/>
        </w:rPr>
        <w:endnoteReference w:id="3"/>
      </w:r>
      <w:r w:rsidR="002957B6">
        <w:rPr>
          <w:rFonts w:ascii="Times New Roman" w:hAnsi="Times New Roman" w:cs="Times New Roman"/>
          <w:sz w:val="24"/>
          <w:szCs w:val="24"/>
        </w:rPr>
        <w:t xml:space="preserve">. The injury done to the </w:t>
      </w:r>
      <w:r w:rsidR="00CA1AEE">
        <w:rPr>
          <w:rFonts w:ascii="Times New Roman" w:hAnsi="Times New Roman" w:cs="Times New Roman"/>
          <w:sz w:val="24"/>
          <w:szCs w:val="24"/>
        </w:rPr>
        <w:t>chattel</w:t>
      </w:r>
      <w:r w:rsidR="002957B6">
        <w:rPr>
          <w:rFonts w:ascii="Times New Roman" w:hAnsi="Times New Roman" w:cs="Times New Roman"/>
          <w:sz w:val="24"/>
          <w:szCs w:val="24"/>
        </w:rPr>
        <w:t xml:space="preserve"> must be done while it’s in the claimant’s possession. It need not leave the claimant’s possession, unlike in Conversion and Detinue</w:t>
      </w:r>
      <w:r w:rsidR="00B92BE8">
        <w:rPr>
          <w:rFonts w:ascii="Times New Roman" w:hAnsi="Times New Roman" w:cs="Times New Roman"/>
          <w:sz w:val="24"/>
          <w:szCs w:val="24"/>
        </w:rPr>
        <w:t>.</w:t>
      </w:r>
    </w:p>
    <w:p w:rsidR="00D67313" w:rsidRDefault="00B92BE8" w:rsidP="00914EB5">
      <w:pPr>
        <w:rPr>
          <w:rFonts w:ascii="Times New Roman" w:hAnsi="Times New Roman" w:cs="Times New Roman"/>
          <w:sz w:val="24"/>
          <w:szCs w:val="24"/>
        </w:rPr>
      </w:pPr>
      <w:r>
        <w:rPr>
          <w:rFonts w:ascii="Times New Roman" w:hAnsi="Times New Roman" w:cs="Times New Roman"/>
          <w:sz w:val="24"/>
          <w:szCs w:val="24"/>
        </w:rPr>
        <w:t xml:space="preserve">In order to prove trespass to chattel, the claimant must show that, </w:t>
      </w:r>
      <w:r w:rsidR="008C4AC8">
        <w:rPr>
          <w:rFonts w:ascii="Times New Roman" w:hAnsi="Times New Roman" w:cs="Times New Roman"/>
          <w:sz w:val="24"/>
          <w:szCs w:val="24"/>
        </w:rPr>
        <w:t>the defendant intentionally or negligently com</w:t>
      </w:r>
      <w:r w:rsidR="00EC2254">
        <w:rPr>
          <w:rFonts w:ascii="Times New Roman" w:hAnsi="Times New Roman" w:cs="Times New Roman"/>
          <w:sz w:val="24"/>
          <w:szCs w:val="24"/>
        </w:rPr>
        <w:t xml:space="preserve">mitted the act, </w:t>
      </w:r>
      <w:r w:rsidR="008C4AC8">
        <w:rPr>
          <w:rFonts w:ascii="Times New Roman" w:hAnsi="Times New Roman" w:cs="Times New Roman"/>
          <w:sz w:val="24"/>
          <w:szCs w:val="24"/>
        </w:rPr>
        <w:t>even though this trespass is not a strict liability tort.</w:t>
      </w:r>
      <w:r w:rsidR="00914EB5">
        <w:rPr>
          <w:rFonts w:ascii="Times New Roman" w:hAnsi="Times New Roman" w:cs="Times New Roman"/>
          <w:sz w:val="24"/>
          <w:szCs w:val="24"/>
        </w:rPr>
        <w:t xml:space="preserve"> The claimant will also prove that the act was committed without his consent. There must be an unauthorized, unlawful interference. There must have been interference</w:t>
      </w:r>
      <w:r w:rsidR="00D67313">
        <w:rPr>
          <w:rFonts w:ascii="Times New Roman" w:hAnsi="Times New Roman" w:cs="Times New Roman"/>
          <w:sz w:val="24"/>
          <w:szCs w:val="24"/>
        </w:rPr>
        <w:t xml:space="preserve"> </w:t>
      </w:r>
      <w:r w:rsidR="00914EB5">
        <w:rPr>
          <w:rFonts w:ascii="Times New Roman" w:hAnsi="Times New Roman" w:cs="Times New Roman"/>
          <w:sz w:val="24"/>
          <w:szCs w:val="24"/>
        </w:rPr>
        <w:t>with the chattel.</w:t>
      </w:r>
    </w:p>
    <w:p w:rsidR="00B75AD7" w:rsidRPr="00B75AD7" w:rsidRDefault="00B75AD7" w:rsidP="00914EB5">
      <w:pPr>
        <w:rPr>
          <w:rFonts w:ascii="Times New Roman" w:hAnsi="Times New Roman" w:cs="Times New Roman"/>
          <w:b/>
          <w:sz w:val="24"/>
          <w:szCs w:val="24"/>
        </w:rPr>
      </w:pPr>
      <w:r w:rsidRPr="00B75AD7">
        <w:rPr>
          <w:rFonts w:ascii="Times New Roman" w:hAnsi="Times New Roman" w:cs="Times New Roman"/>
          <w:b/>
          <w:sz w:val="24"/>
          <w:szCs w:val="24"/>
        </w:rPr>
        <w:t>CONVERSION</w:t>
      </w:r>
    </w:p>
    <w:p w:rsidR="0064727E" w:rsidRDefault="00145DAE" w:rsidP="006D5A04">
      <w:pPr>
        <w:rPr>
          <w:rFonts w:ascii="Times New Roman" w:hAnsi="Times New Roman" w:cs="Times New Roman"/>
          <w:sz w:val="24"/>
          <w:szCs w:val="24"/>
        </w:rPr>
      </w:pPr>
      <w:r>
        <w:rPr>
          <w:rFonts w:ascii="Times New Roman" w:hAnsi="Times New Roman" w:cs="Times New Roman"/>
          <w:sz w:val="24"/>
          <w:szCs w:val="24"/>
        </w:rPr>
        <w:t>Conversion is any interference or dealing which denies a person of his title or possession, or use of his chattel. It is dealing with the chattel of a person in a manner which is inconsistent with the rights of the person. It is intentional interference with the chattel of another person which denies him, his title, possession and use of it.</w:t>
      </w:r>
      <w:r w:rsidR="00235D0E">
        <w:rPr>
          <w:rFonts w:ascii="Times New Roman" w:hAnsi="Times New Roman" w:cs="Times New Roman"/>
          <w:sz w:val="24"/>
          <w:szCs w:val="24"/>
        </w:rPr>
        <w:t xml:space="preserve"> Many consider it to be the civil side of larceny, e</w:t>
      </w:r>
      <w:r>
        <w:rPr>
          <w:rFonts w:ascii="Times New Roman" w:hAnsi="Times New Roman" w:cs="Times New Roman"/>
          <w:sz w:val="24"/>
          <w:szCs w:val="24"/>
        </w:rPr>
        <w:t>xamples of conversion include, using the plaintiff’s chattel as if it were his own</w:t>
      </w:r>
      <w:r>
        <w:rPr>
          <w:rStyle w:val="EndnoteReference"/>
          <w:rFonts w:ascii="Times New Roman" w:hAnsi="Times New Roman" w:cs="Times New Roman"/>
          <w:sz w:val="24"/>
          <w:szCs w:val="24"/>
        </w:rPr>
        <w:endnoteReference w:id="4"/>
      </w:r>
      <w:r>
        <w:rPr>
          <w:rFonts w:ascii="Times New Roman" w:hAnsi="Times New Roman" w:cs="Times New Roman"/>
          <w:sz w:val="24"/>
          <w:szCs w:val="24"/>
        </w:rPr>
        <w:t>, changing the form of the chattel, taking the chattel out of the plaintiff’s possession without lawful justification</w:t>
      </w:r>
      <w:r>
        <w:rPr>
          <w:rStyle w:val="EndnoteReference"/>
          <w:rFonts w:ascii="Times New Roman" w:hAnsi="Times New Roman" w:cs="Times New Roman"/>
          <w:sz w:val="24"/>
          <w:szCs w:val="24"/>
        </w:rPr>
        <w:endnoteReference w:id="5"/>
      </w:r>
      <w:r w:rsidR="0064727E">
        <w:rPr>
          <w:rFonts w:ascii="Times New Roman" w:hAnsi="Times New Roman" w:cs="Times New Roman"/>
          <w:sz w:val="24"/>
          <w:szCs w:val="24"/>
        </w:rPr>
        <w:t>, wrongful sale, detention, wrongful delivery of chattel etc.</w:t>
      </w:r>
    </w:p>
    <w:p w:rsidR="006D5A04" w:rsidRDefault="006D5A04" w:rsidP="006D5A04">
      <w:pPr>
        <w:rPr>
          <w:rFonts w:ascii="Times New Roman" w:hAnsi="Times New Roman" w:cs="Times New Roman"/>
          <w:sz w:val="24"/>
          <w:szCs w:val="24"/>
        </w:rPr>
      </w:pPr>
      <w:r>
        <w:rPr>
          <w:rFonts w:ascii="Times New Roman" w:hAnsi="Times New Roman" w:cs="Times New Roman"/>
          <w:sz w:val="24"/>
          <w:szCs w:val="24"/>
        </w:rPr>
        <w:t>Conversion is different from Trespass because the action of the defendant has to deprive the owner of his possession. It is known as theft or stealing in criminal law</w:t>
      </w:r>
      <w:r w:rsidR="004A4DAF">
        <w:rPr>
          <w:rStyle w:val="EndnoteReference"/>
          <w:rFonts w:ascii="Times New Roman" w:hAnsi="Times New Roman" w:cs="Times New Roman"/>
          <w:sz w:val="24"/>
          <w:szCs w:val="24"/>
        </w:rPr>
        <w:endnoteReference w:id="6"/>
      </w:r>
      <w:r>
        <w:rPr>
          <w:rFonts w:ascii="Times New Roman" w:hAnsi="Times New Roman" w:cs="Times New Roman"/>
          <w:sz w:val="24"/>
          <w:szCs w:val="24"/>
        </w:rPr>
        <w:t>.</w:t>
      </w:r>
    </w:p>
    <w:p w:rsidR="00145DAE" w:rsidRDefault="00235D0E" w:rsidP="006D5A04">
      <w:pPr>
        <w:rPr>
          <w:rFonts w:ascii="Times New Roman" w:hAnsi="Times New Roman" w:cs="Times New Roman"/>
          <w:sz w:val="24"/>
          <w:szCs w:val="24"/>
        </w:rPr>
      </w:pPr>
      <w:r>
        <w:rPr>
          <w:rFonts w:ascii="Times New Roman" w:hAnsi="Times New Roman" w:cs="Times New Roman"/>
          <w:sz w:val="24"/>
          <w:szCs w:val="24"/>
        </w:rPr>
        <w:t>To establish a conversion claim, a plaintiff must prove that;</w:t>
      </w:r>
    </w:p>
    <w:p w:rsidR="00235D0E" w:rsidRDefault="00235D0E" w:rsidP="00235D0E">
      <w:pPr>
        <w:spacing w:line="240" w:lineRule="auto"/>
        <w:rPr>
          <w:rFonts w:ascii="Times New Roman" w:hAnsi="Times New Roman" w:cs="Times New Roman"/>
          <w:sz w:val="24"/>
          <w:szCs w:val="24"/>
        </w:rPr>
      </w:pPr>
      <w:r>
        <w:rPr>
          <w:rFonts w:ascii="Times New Roman" w:hAnsi="Times New Roman" w:cs="Times New Roman"/>
          <w:sz w:val="24"/>
          <w:szCs w:val="24"/>
        </w:rPr>
        <w:t>It had possessory interest in the property</w:t>
      </w:r>
    </w:p>
    <w:p w:rsidR="00235D0E" w:rsidRDefault="00235D0E" w:rsidP="00235D0E">
      <w:pPr>
        <w:spacing w:line="240" w:lineRule="auto"/>
        <w:rPr>
          <w:rFonts w:ascii="Times New Roman" w:hAnsi="Times New Roman" w:cs="Times New Roman"/>
          <w:sz w:val="24"/>
          <w:szCs w:val="24"/>
        </w:rPr>
      </w:pPr>
      <w:r>
        <w:rPr>
          <w:rFonts w:ascii="Times New Roman" w:hAnsi="Times New Roman" w:cs="Times New Roman"/>
          <w:sz w:val="24"/>
          <w:szCs w:val="24"/>
        </w:rPr>
        <w:t>The defendant intentionally interfered with the plaintiff’s possession</w:t>
      </w:r>
    </w:p>
    <w:p w:rsidR="00683518" w:rsidRDefault="00235D0E" w:rsidP="00235D0E">
      <w:pPr>
        <w:spacing w:line="240" w:lineRule="auto"/>
        <w:rPr>
          <w:rFonts w:ascii="Times New Roman" w:hAnsi="Times New Roman" w:cs="Times New Roman"/>
          <w:sz w:val="24"/>
          <w:szCs w:val="24"/>
        </w:rPr>
      </w:pPr>
      <w:r>
        <w:rPr>
          <w:rFonts w:ascii="Times New Roman" w:hAnsi="Times New Roman" w:cs="Times New Roman"/>
          <w:sz w:val="24"/>
          <w:szCs w:val="24"/>
        </w:rPr>
        <w:t>The defendant’s acts are the legal cause of the plaintiff’s loss of prop</w:t>
      </w:r>
    </w:p>
    <w:p w:rsidR="00B75AD7" w:rsidRPr="00683518" w:rsidRDefault="00B75AD7" w:rsidP="00235D0E">
      <w:pPr>
        <w:spacing w:line="240" w:lineRule="auto"/>
        <w:rPr>
          <w:rFonts w:ascii="Times New Roman" w:hAnsi="Times New Roman" w:cs="Times New Roman"/>
          <w:sz w:val="24"/>
          <w:szCs w:val="24"/>
        </w:rPr>
      </w:pPr>
      <w:r w:rsidRPr="00B75AD7">
        <w:rPr>
          <w:rFonts w:ascii="Times New Roman" w:hAnsi="Times New Roman" w:cs="Times New Roman"/>
          <w:b/>
          <w:sz w:val="24"/>
          <w:szCs w:val="24"/>
        </w:rPr>
        <w:lastRenderedPageBreak/>
        <w:t>DETINUE</w:t>
      </w:r>
    </w:p>
    <w:p w:rsidR="006F6C84" w:rsidRDefault="006D5A04" w:rsidP="00235D0E">
      <w:pPr>
        <w:spacing w:line="240" w:lineRule="auto"/>
        <w:rPr>
          <w:rFonts w:ascii="Times New Roman" w:hAnsi="Times New Roman" w:cs="Times New Roman"/>
          <w:sz w:val="24"/>
          <w:szCs w:val="24"/>
        </w:rPr>
      </w:pPr>
      <w:r>
        <w:rPr>
          <w:rFonts w:ascii="Times New Roman" w:hAnsi="Times New Roman" w:cs="Times New Roman"/>
          <w:sz w:val="24"/>
          <w:szCs w:val="24"/>
        </w:rPr>
        <w:t xml:space="preserve">Detinue </w:t>
      </w:r>
      <w:r w:rsidR="004A4DAF">
        <w:rPr>
          <w:rFonts w:ascii="Times New Roman" w:hAnsi="Times New Roman" w:cs="Times New Roman"/>
          <w:sz w:val="24"/>
          <w:szCs w:val="24"/>
        </w:rPr>
        <w:t>involves the wrongful detention of the chattel of another person, the immediate possession of which the person entitled. It is the wrongful detention or retention of a chattel whereby the person entitled to it is denied</w:t>
      </w:r>
      <w:r w:rsidR="00730270">
        <w:rPr>
          <w:rFonts w:ascii="Times New Roman" w:hAnsi="Times New Roman" w:cs="Times New Roman"/>
          <w:sz w:val="24"/>
          <w:szCs w:val="24"/>
        </w:rPr>
        <w:t xml:space="preserve"> the possession or use of it. As a general rule, a plaintiff must have possession before the detention, or have right to immediate possession of the chattel</w:t>
      </w:r>
      <w:r w:rsidR="00F72486">
        <w:rPr>
          <w:rFonts w:ascii="Times New Roman" w:hAnsi="Times New Roman" w:cs="Times New Roman"/>
          <w:sz w:val="24"/>
          <w:szCs w:val="24"/>
        </w:rPr>
        <w:t>. The tort of Detinue was however abolished in the United Kingdom, through the Torts</w:t>
      </w:r>
      <w:r w:rsidR="00893364">
        <w:rPr>
          <w:rFonts w:ascii="Times New Roman" w:hAnsi="Times New Roman" w:cs="Times New Roman"/>
          <w:sz w:val="24"/>
          <w:szCs w:val="24"/>
        </w:rPr>
        <w:t xml:space="preserve"> </w:t>
      </w:r>
      <w:r w:rsidR="00F72486">
        <w:rPr>
          <w:rFonts w:ascii="Times New Roman" w:hAnsi="Times New Roman" w:cs="Times New Roman"/>
          <w:sz w:val="24"/>
          <w:szCs w:val="24"/>
        </w:rPr>
        <w:t xml:space="preserve">(Interference with Goods) Act </w:t>
      </w:r>
      <w:r w:rsidR="00B75AD7">
        <w:rPr>
          <w:rFonts w:ascii="Times New Roman" w:hAnsi="Times New Roman" w:cs="Times New Roman"/>
          <w:sz w:val="24"/>
          <w:szCs w:val="24"/>
        </w:rPr>
        <w:t>1977;</w:t>
      </w:r>
      <w:r w:rsidR="00F72486">
        <w:rPr>
          <w:rFonts w:ascii="Times New Roman" w:hAnsi="Times New Roman" w:cs="Times New Roman"/>
          <w:sz w:val="24"/>
          <w:szCs w:val="24"/>
        </w:rPr>
        <w:t xml:space="preserve"> it was merged with the tort of Conversion</w:t>
      </w:r>
      <w:r w:rsidR="00F841CC">
        <w:rPr>
          <w:rFonts w:ascii="Times New Roman" w:hAnsi="Times New Roman" w:cs="Times New Roman"/>
          <w:sz w:val="24"/>
          <w:szCs w:val="24"/>
        </w:rPr>
        <w:t>. In Nigeria, both torts still operate separately, although a party may claim</w:t>
      </w:r>
      <w:r w:rsidR="00893364">
        <w:rPr>
          <w:rFonts w:ascii="Times New Roman" w:hAnsi="Times New Roman" w:cs="Times New Roman"/>
          <w:sz w:val="24"/>
          <w:szCs w:val="24"/>
        </w:rPr>
        <w:t xml:space="preserve"> both torts in a single action</w:t>
      </w:r>
      <w:r w:rsidR="00893364">
        <w:rPr>
          <w:rStyle w:val="EndnoteReference"/>
          <w:rFonts w:ascii="Times New Roman" w:hAnsi="Times New Roman" w:cs="Times New Roman"/>
          <w:sz w:val="24"/>
          <w:szCs w:val="24"/>
        </w:rPr>
        <w:endnoteReference w:id="7"/>
      </w:r>
      <w:r w:rsidR="003812EF">
        <w:rPr>
          <w:rFonts w:ascii="Times New Roman" w:hAnsi="Times New Roman" w:cs="Times New Roman"/>
          <w:sz w:val="24"/>
          <w:szCs w:val="24"/>
        </w:rPr>
        <w:t>.</w:t>
      </w:r>
      <w:r w:rsidR="006F6C84">
        <w:rPr>
          <w:rFonts w:ascii="Times New Roman" w:hAnsi="Times New Roman" w:cs="Times New Roman"/>
          <w:sz w:val="24"/>
          <w:szCs w:val="24"/>
        </w:rPr>
        <w:t xml:space="preserve"> Example of Detinue include detention or retention of goods such as when A lends his chair to B for a one day party, and B refuses to return the chair as agreed, or after the expiration of a reasonable time.</w:t>
      </w:r>
    </w:p>
    <w:p w:rsidR="006F6C84" w:rsidRDefault="006F6C84" w:rsidP="00235D0E">
      <w:pPr>
        <w:spacing w:line="240" w:lineRule="auto"/>
        <w:rPr>
          <w:rFonts w:ascii="Times New Roman" w:hAnsi="Times New Roman" w:cs="Times New Roman"/>
          <w:sz w:val="24"/>
          <w:szCs w:val="24"/>
        </w:rPr>
      </w:pPr>
      <w:r>
        <w:rPr>
          <w:rFonts w:ascii="Times New Roman" w:hAnsi="Times New Roman" w:cs="Times New Roman"/>
          <w:sz w:val="24"/>
          <w:szCs w:val="24"/>
        </w:rPr>
        <w:t>In order to maintain an action for the tort of Detinue, a plaintiff must satisfy two options</w:t>
      </w:r>
    </w:p>
    <w:p w:rsidR="006F6C84" w:rsidRDefault="006F6C84" w:rsidP="006F6C84">
      <w:pPr>
        <w:pStyle w:val="ListParagraph"/>
        <w:numPr>
          <w:ilvl w:val="0"/>
          <w:numId w:val="9"/>
        </w:numPr>
        <w:spacing w:line="240" w:lineRule="auto"/>
        <w:rPr>
          <w:rFonts w:ascii="Times New Roman" w:hAnsi="Times New Roman" w:cs="Times New Roman"/>
          <w:sz w:val="24"/>
          <w:szCs w:val="24"/>
        </w:rPr>
      </w:pPr>
      <w:r w:rsidRPr="006F6C84">
        <w:rPr>
          <w:rFonts w:ascii="Times New Roman" w:hAnsi="Times New Roman" w:cs="Times New Roman"/>
          <w:sz w:val="24"/>
          <w:szCs w:val="24"/>
        </w:rPr>
        <w:t>He mu</w:t>
      </w:r>
      <w:r>
        <w:rPr>
          <w:rFonts w:ascii="Times New Roman" w:hAnsi="Times New Roman" w:cs="Times New Roman"/>
          <w:sz w:val="24"/>
          <w:szCs w:val="24"/>
        </w:rPr>
        <w:t xml:space="preserve">st have ownership or </w:t>
      </w:r>
      <w:r w:rsidR="007962E3">
        <w:rPr>
          <w:rFonts w:ascii="Times New Roman" w:hAnsi="Times New Roman" w:cs="Times New Roman"/>
          <w:sz w:val="24"/>
          <w:szCs w:val="24"/>
        </w:rPr>
        <w:t>right to immediate possession of the chattel</w:t>
      </w:r>
    </w:p>
    <w:p w:rsidR="00327774" w:rsidRPr="00327774" w:rsidRDefault="007962E3" w:rsidP="007962E3">
      <w:pPr>
        <w:pStyle w:val="ListParagraph"/>
        <w:numPr>
          <w:ilvl w:val="0"/>
          <w:numId w:val="9"/>
        </w:numPr>
        <w:spacing w:line="240" w:lineRule="auto"/>
        <w:rPr>
          <w:rFonts w:ascii="Times New Roman" w:hAnsi="Times New Roman" w:cs="Times New Roman"/>
          <w:sz w:val="24"/>
          <w:szCs w:val="24"/>
        </w:rPr>
      </w:pPr>
      <w:r w:rsidRPr="00327774">
        <w:rPr>
          <w:rFonts w:ascii="Times New Roman" w:hAnsi="Times New Roman" w:cs="Times New Roman"/>
          <w:sz w:val="24"/>
          <w:szCs w:val="24"/>
        </w:rPr>
        <w:t>The defendant must have failed or refused to deliver the chattel to the plaintiff, after the plaintiff must have made a proper demand for the return of his chattel. There must have been a demand made by the plaintiff and a refusal by the defendant to return th</w:t>
      </w:r>
      <w:r w:rsidR="00327774" w:rsidRPr="00327774">
        <w:rPr>
          <w:rFonts w:ascii="Times New Roman" w:hAnsi="Times New Roman" w:cs="Times New Roman"/>
          <w:sz w:val="24"/>
          <w:szCs w:val="24"/>
        </w:rPr>
        <w:t xml:space="preserve">em, </w:t>
      </w:r>
      <w:r w:rsidR="00327774">
        <w:rPr>
          <w:rFonts w:ascii="Times New Roman" w:hAnsi="Times New Roman" w:cs="Times New Roman"/>
          <w:b/>
          <w:sz w:val="24"/>
          <w:szCs w:val="24"/>
        </w:rPr>
        <w:t>Kosile v Folarin, W</w:t>
      </w:r>
      <w:r w:rsidR="00327774" w:rsidRPr="00327774">
        <w:rPr>
          <w:rFonts w:ascii="Times New Roman" w:hAnsi="Times New Roman" w:cs="Times New Roman"/>
          <w:b/>
          <w:sz w:val="24"/>
          <w:szCs w:val="24"/>
        </w:rPr>
        <w:t xml:space="preserve">est Africa </w:t>
      </w:r>
      <w:r w:rsidR="00327774">
        <w:rPr>
          <w:rFonts w:ascii="Times New Roman" w:hAnsi="Times New Roman" w:cs="Times New Roman"/>
          <w:b/>
          <w:sz w:val="24"/>
          <w:szCs w:val="24"/>
        </w:rPr>
        <w:t>Examinations C</w:t>
      </w:r>
      <w:r w:rsidR="00327774" w:rsidRPr="00327774">
        <w:rPr>
          <w:rFonts w:ascii="Times New Roman" w:hAnsi="Times New Roman" w:cs="Times New Roman"/>
          <w:b/>
          <w:sz w:val="24"/>
          <w:szCs w:val="24"/>
        </w:rPr>
        <w:t>ou</w:t>
      </w:r>
      <w:r w:rsidR="00327774">
        <w:rPr>
          <w:rFonts w:ascii="Times New Roman" w:hAnsi="Times New Roman" w:cs="Times New Roman"/>
          <w:b/>
          <w:sz w:val="24"/>
          <w:szCs w:val="24"/>
        </w:rPr>
        <w:t>ncil v Koroye, Steyr Nig Ltd v Gadazama</w:t>
      </w:r>
    </w:p>
    <w:p w:rsidR="00327774" w:rsidRDefault="00327774" w:rsidP="00327774">
      <w:pPr>
        <w:spacing w:line="240" w:lineRule="auto"/>
        <w:rPr>
          <w:rFonts w:ascii="Times New Roman" w:hAnsi="Times New Roman" w:cs="Times New Roman"/>
          <w:b/>
          <w:sz w:val="24"/>
          <w:szCs w:val="24"/>
        </w:rPr>
      </w:pPr>
      <w:r w:rsidRPr="00327774">
        <w:rPr>
          <w:rFonts w:ascii="Times New Roman" w:hAnsi="Times New Roman" w:cs="Times New Roman"/>
          <w:b/>
          <w:sz w:val="24"/>
          <w:szCs w:val="24"/>
        </w:rPr>
        <w:t>DIFFERENCES BETWEEN CONVERSION AND DETINUE</w:t>
      </w:r>
    </w:p>
    <w:p w:rsidR="00327774" w:rsidRDefault="00327774" w:rsidP="00327774">
      <w:pPr>
        <w:pStyle w:val="ListParagraph"/>
        <w:numPr>
          <w:ilvl w:val="0"/>
          <w:numId w:val="10"/>
        </w:numPr>
        <w:spacing w:line="240" w:lineRule="auto"/>
        <w:rPr>
          <w:rFonts w:ascii="Times New Roman" w:hAnsi="Times New Roman" w:cs="Times New Roman"/>
          <w:sz w:val="24"/>
          <w:szCs w:val="24"/>
        </w:rPr>
      </w:pPr>
      <w:r w:rsidRPr="00327774">
        <w:rPr>
          <w:rFonts w:ascii="Times New Roman" w:hAnsi="Times New Roman" w:cs="Times New Roman"/>
          <w:sz w:val="24"/>
          <w:szCs w:val="24"/>
        </w:rPr>
        <w:t>In Detinue, there must have been demand for the retu</w:t>
      </w:r>
      <w:r>
        <w:rPr>
          <w:rFonts w:ascii="Times New Roman" w:hAnsi="Times New Roman" w:cs="Times New Roman"/>
          <w:sz w:val="24"/>
          <w:szCs w:val="24"/>
        </w:rPr>
        <w:t>rn of the chattel</w:t>
      </w:r>
    </w:p>
    <w:p w:rsidR="002D6D34" w:rsidRDefault="00327774" w:rsidP="002D6D34">
      <w:pPr>
        <w:pStyle w:val="ListParagraph"/>
        <w:numPr>
          <w:ilvl w:val="0"/>
          <w:numId w:val="10"/>
        </w:numPr>
        <w:spacing w:line="240" w:lineRule="auto"/>
        <w:rPr>
          <w:rFonts w:ascii="Times New Roman" w:hAnsi="Times New Roman" w:cs="Times New Roman"/>
          <w:sz w:val="24"/>
          <w:szCs w:val="24"/>
        </w:rPr>
      </w:pPr>
      <w:r w:rsidRPr="002D6D34">
        <w:rPr>
          <w:rFonts w:ascii="Times New Roman" w:hAnsi="Times New Roman" w:cs="Times New Roman"/>
          <w:sz w:val="24"/>
          <w:szCs w:val="24"/>
        </w:rPr>
        <w:t>Where the aggrieved party demands for the return of the specific goods, Detinue is the</w:t>
      </w:r>
      <w:r w:rsidR="002D6D34" w:rsidRPr="002D6D34">
        <w:rPr>
          <w:rFonts w:ascii="Times New Roman" w:hAnsi="Times New Roman" w:cs="Times New Roman"/>
          <w:sz w:val="24"/>
          <w:szCs w:val="24"/>
        </w:rPr>
        <w:t xml:space="preserve"> proper remedy. Where the specific return of the chattel or it’s replacement would not be possible, an award for the current market value of the chattel is u</w:t>
      </w:r>
      <w:r w:rsidR="002D6D34">
        <w:rPr>
          <w:rFonts w:ascii="Times New Roman" w:hAnsi="Times New Roman" w:cs="Times New Roman"/>
          <w:sz w:val="24"/>
          <w:szCs w:val="24"/>
        </w:rPr>
        <w:t>sually</w:t>
      </w:r>
      <w:r w:rsidR="00AF5579">
        <w:rPr>
          <w:rFonts w:ascii="Times New Roman" w:hAnsi="Times New Roman" w:cs="Times New Roman"/>
          <w:sz w:val="24"/>
          <w:szCs w:val="24"/>
        </w:rPr>
        <w:t xml:space="preserve"> made to the plaintiff</w:t>
      </w:r>
    </w:p>
    <w:p w:rsidR="00B75AD7" w:rsidRPr="002D6D34" w:rsidRDefault="002D6D34" w:rsidP="002D6D34">
      <w:pPr>
        <w:spacing w:line="240" w:lineRule="auto"/>
        <w:rPr>
          <w:rFonts w:ascii="Times New Roman" w:hAnsi="Times New Roman" w:cs="Times New Roman"/>
          <w:sz w:val="24"/>
          <w:szCs w:val="24"/>
        </w:rPr>
      </w:pPr>
      <w:r>
        <w:rPr>
          <w:rFonts w:ascii="Times New Roman" w:hAnsi="Times New Roman" w:cs="Times New Roman"/>
          <w:b/>
          <w:sz w:val="24"/>
          <w:szCs w:val="24"/>
        </w:rPr>
        <w:t>I</w:t>
      </w:r>
      <w:r w:rsidR="00B75AD7" w:rsidRPr="002D6D34">
        <w:rPr>
          <w:rFonts w:ascii="Times New Roman" w:hAnsi="Times New Roman" w:cs="Times New Roman"/>
          <w:b/>
          <w:sz w:val="24"/>
          <w:szCs w:val="24"/>
        </w:rPr>
        <w:t>NNOCENT RECEIPT OR DELIVER</w:t>
      </w:r>
      <w:r w:rsidR="00327774" w:rsidRPr="002D6D34">
        <w:rPr>
          <w:rFonts w:ascii="Times New Roman" w:hAnsi="Times New Roman" w:cs="Times New Roman"/>
          <w:b/>
          <w:sz w:val="24"/>
          <w:szCs w:val="24"/>
        </w:rPr>
        <w:t>Y</w:t>
      </w:r>
    </w:p>
    <w:p w:rsidR="003812EF" w:rsidRDefault="00B75AD7" w:rsidP="00235D0E">
      <w:pPr>
        <w:spacing w:line="240" w:lineRule="auto"/>
        <w:rPr>
          <w:rFonts w:ascii="Times New Roman" w:hAnsi="Times New Roman" w:cs="Times New Roman"/>
          <w:sz w:val="24"/>
          <w:szCs w:val="24"/>
        </w:rPr>
      </w:pPr>
      <w:r>
        <w:rPr>
          <w:rFonts w:ascii="Times New Roman" w:hAnsi="Times New Roman" w:cs="Times New Roman"/>
          <w:sz w:val="24"/>
          <w:szCs w:val="24"/>
        </w:rPr>
        <w:t>As a general rule, neither innocent receipt nor innocent delivery can be seen as torts or criminal offences. Where a person in the body of a carrier or warehouseman, collects goods from a first party, whom he believes to have legal possession of them and delivers them to the appropriate party</w:t>
      </w:r>
      <w:r w:rsidR="008A6248">
        <w:rPr>
          <w:rFonts w:ascii="Times New Roman" w:hAnsi="Times New Roman" w:cs="Times New Roman"/>
          <w:sz w:val="24"/>
          <w:szCs w:val="24"/>
        </w:rPr>
        <w:t xml:space="preserve"> in good faith</w:t>
      </w:r>
      <w:r>
        <w:rPr>
          <w:rFonts w:ascii="Times New Roman" w:hAnsi="Times New Roman" w:cs="Times New Roman"/>
          <w:sz w:val="24"/>
          <w:szCs w:val="24"/>
        </w:rPr>
        <w:t>, he cannot be liable for conversion</w:t>
      </w:r>
      <w:r w:rsidR="008A6248">
        <w:rPr>
          <w:rFonts w:ascii="Times New Roman" w:hAnsi="Times New Roman" w:cs="Times New Roman"/>
          <w:sz w:val="24"/>
          <w:szCs w:val="24"/>
        </w:rPr>
        <w:t>. In the same vein, where a party receives these goods in the stead of the original owner, he cannot be liable for conversion, provided that he doesn’t willing damage the goods unless they constitute a nuisance.</w:t>
      </w:r>
      <w:r w:rsidR="008A6248">
        <w:rPr>
          <w:rStyle w:val="EndnoteReference"/>
          <w:rFonts w:ascii="Times New Roman" w:hAnsi="Times New Roman" w:cs="Times New Roman"/>
          <w:sz w:val="24"/>
          <w:szCs w:val="24"/>
        </w:rPr>
        <w:endnoteReference w:id="8"/>
      </w:r>
    </w:p>
    <w:p w:rsidR="00971C94" w:rsidRDefault="00971C94" w:rsidP="00235D0E">
      <w:pPr>
        <w:spacing w:line="240" w:lineRule="auto"/>
        <w:rPr>
          <w:rFonts w:ascii="Times New Roman" w:hAnsi="Times New Roman" w:cs="Times New Roman"/>
          <w:b/>
          <w:sz w:val="24"/>
          <w:szCs w:val="24"/>
        </w:rPr>
      </w:pPr>
      <w:r w:rsidRPr="00971C94">
        <w:rPr>
          <w:rFonts w:ascii="Times New Roman" w:hAnsi="Times New Roman" w:cs="Times New Roman"/>
          <w:b/>
          <w:sz w:val="24"/>
          <w:szCs w:val="24"/>
        </w:rPr>
        <w:t>LOST PROPERTY RULE</w:t>
      </w:r>
    </w:p>
    <w:p w:rsidR="00971C94" w:rsidRDefault="00971C94" w:rsidP="00235D0E">
      <w:pPr>
        <w:spacing w:line="240" w:lineRule="auto"/>
        <w:rPr>
          <w:rFonts w:ascii="Times New Roman" w:hAnsi="Times New Roman" w:cs="Times New Roman"/>
          <w:sz w:val="24"/>
          <w:szCs w:val="24"/>
        </w:rPr>
      </w:pPr>
      <w:r>
        <w:rPr>
          <w:rFonts w:ascii="Times New Roman" w:hAnsi="Times New Roman" w:cs="Times New Roman"/>
          <w:sz w:val="24"/>
          <w:szCs w:val="24"/>
        </w:rPr>
        <w:t xml:space="preserve">The decision of the English Court of Appeal, in the case of </w:t>
      </w:r>
      <w:r>
        <w:rPr>
          <w:rFonts w:ascii="Times New Roman" w:hAnsi="Times New Roman" w:cs="Times New Roman"/>
          <w:b/>
          <w:sz w:val="24"/>
          <w:szCs w:val="24"/>
        </w:rPr>
        <w:t>PARKER v BRITISH AIRWAYS</w:t>
      </w:r>
      <w:r>
        <w:rPr>
          <w:rStyle w:val="EndnoteReference"/>
          <w:rFonts w:ascii="Times New Roman" w:hAnsi="Times New Roman" w:cs="Times New Roman"/>
          <w:b/>
          <w:sz w:val="24"/>
          <w:szCs w:val="24"/>
        </w:rPr>
        <w:endnoteReference w:id="9"/>
      </w:r>
      <w:r>
        <w:rPr>
          <w:rFonts w:ascii="Times New Roman" w:hAnsi="Times New Roman" w:cs="Times New Roman"/>
          <w:sz w:val="24"/>
          <w:szCs w:val="24"/>
        </w:rPr>
        <w:t>, set the case law for rules applicable to finding lost property, they include;</w:t>
      </w:r>
    </w:p>
    <w:p w:rsidR="00971C94" w:rsidRDefault="000C03F3" w:rsidP="00971C94">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w:t>
      </w:r>
      <w:r w:rsidR="00971C94" w:rsidRPr="00031E94">
        <w:rPr>
          <w:rFonts w:ascii="Times New Roman" w:hAnsi="Times New Roman" w:cs="Times New Roman"/>
          <w:sz w:val="24"/>
          <w:szCs w:val="24"/>
        </w:rPr>
        <w:t xml:space="preserve">A finder of a chattel acquires not right over it unless it has abandoned or lost, and he takes it into his care and control. He acquires the right to keep it against all person except the true owner, or a person who can asserts a prior right to keep the chattel, </w:t>
      </w:r>
      <w:r w:rsidR="00031E94" w:rsidRPr="00031E94">
        <w:rPr>
          <w:rFonts w:ascii="Times New Roman" w:hAnsi="Times New Roman" w:cs="Times New Roman"/>
          <w:sz w:val="24"/>
          <w:szCs w:val="24"/>
        </w:rPr>
        <w:t>which was su</w:t>
      </w:r>
      <w:r w:rsidR="00031E94">
        <w:rPr>
          <w:rFonts w:ascii="Times New Roman" w:hAnsi="Times New Roman" w:cs="Times New Roman"/>
          <w:sz w:val="24"/>
          <w:szCs w:val="24"/>
        </w:rPr>
        <w:t>bsisting at a time when the finder took the chattel into his care a control.</w:t>
      </w:r>
    </w:p>
    <w:p w:rsidR="00031E94" w:rsidRDefault="00031E94" w:rsidP="00971C94">
      <w:pPr>
        <w:pStyle w:val="ListParagraph"/>
        <w:numPr>
          <w:ilvl w:val="0"/>
          <w:numId w:val="2"/>
        </w:numPr>
        <w:spacing w:line="240" w:lineRule="auto"/>
        <w:rPr>
          <w:rFonts w:ascii="Times New Roman" w:hAnsi="Times New Roman" w:cs="Times New Roman"/>
          <w:sz w:val="24"/>
          <w:szCs w:val="24"/>
        </w:rPr>
      </w:pPr>
      <w:r w:rsidRPr="00031E94">
        <w:rPr>
          <w:rFonts w:ascii="Times New Roman" w:hAnsi="Times New Roman" w:cs="Times New Roman"/>
          <w:sz w:val="24"/>
          <w:szCs w:val="24"/>
        </w:rPr>
        <w:t>Any servant who finds a lost property in the cause of his employment, does so on behalf of his employer, who by law acqu</w:t>
      </w:r>
      <w:r>
        <w:rPr>
          <w:rFonts w:ascii="Times New Roman" w:hAnsi="Times New Roman" w:cs="Times New Roman"/>
          <w:sz w:val="24"/>
          <w:szCs w:val="24"/>
        </w:rPr>
        <w:t>ires the rights of a finder.</w:t>
      </w:r>
    </w:p>
    <w:p w:rsidR="00031E94" w:rsidRDefault="00031E94" w:rsidP="00971C94">
      <w:pPr>
        <w:pStyle w:val="ListParagraph"/>
        <w:numPr>
          <w:ilvl w:val="0"/>
          <w:numId w:val="2"/>
        </w:numPr>
        <w:spacing w:line="240" w:lineRule="auto"/>
        <w:rPr>
          <w:rFonts w:ascii="Times New Roman" w:hAnsi="Times New Roman" w:cs="Times New Roman"/>
          <w:sz w:val="24"/>
          <w:szCs w:val="24"/>
        </w:rPr>
      </w:pPr>
      <w:r w:rsidRPr="00031E94">
        <w:rPr>
          <w:rFonts w:ascii="Times New Roman" w:hAnsi="Times New Roman" w:cs="Times New Roman"/>
          <w:sz w:val="24"/>
          <w:szCs w:val="24"/>
        </w:rPr>
        <w:lastRenderedPageBreak/>
        <w:t>An occupier of land, or a building has superior rights to those of a finder, over property or goods in, or attached to the land, or buildin</w:t>
      </w:r>
      <w:r>
        <w:rPr>
          <w:rFonts w:ascii="Times New Roman" w:hAnsi="Times New Roman" w:cs="Times New Roman"/>
          <w:sz w:val="24"/>
          <w:szCs w:val="24"/>
        </w:rPr>
        <w:t>g</w:t>
      </w:r>
      <w:r>
        <w:rPr>
          <w:rStyle w:val="EndnoteReference"/>
          <w:rFonts w:ascii="Times New Roman" w:hAnsi="Times New Roman" w:cs="Times New Roman"/>
          <w:sz w:val="24"/>
          <w:szCs w:val="24"/>
        </w:rPr>
        <w:endnoteReference w:id="10"/>
      </w:r>
      <w:r>
        <w:rPr>
          <w:rFonts w:ascii="Times New Roman" w:hAnsi="Times New Roman" w:cs="Times New Roman"/>
          <w:sz w:val="24"/>
          <w:szCs w:val="24"/>
        </w:rPr>
        <w:t>.</w:t>
      </w:r>
    </w:p>
    <w:p w:rsidR="00031E94" w:rsidRDefault="00031E94" w:rsidP="00971C94">
      <w:pPr>
        <w:pStyle w:val="ListParagraph"/>
        <w:numPr>
          <w:ilvl w:val="0"/>
          <w:numId w:val="2"/>
        </w:numPr>
        <w:spacing w:line="240" w:lineRule="auto"/>
        <w:rPr>
          <w:rFonts w:ascii="Times New Roman" w:hAnsi="Times New Roman" w:cs="Times New Roman"/>
          <w:sz w:val="24"/>
          <w:szCs w:val="24"/>
        </w:rPr>
      </w:pPr>
      <w:r w:rsidRPr="000C03F3">
        <w:rPr>
          <w:rFonts w:ascii="Times New Roman" w:hAnsi="Times New Roman" w:cs="Times New Roman"/>
          <w:sz w:val="24"/>
          <w:szCs w:val="24"/>
        </w:rPr>
        <w:t>However, an occup</w:t>
      </w:r>
      <w:r w:rsidR="00327774">
        <w:rPr>
          <w:rFonts w:ascii="Times New Roman" w:hAnsi="Times New Roman" w:cs="Times New Roman"/>
          <w:sz w:val="24"/>
          <w:szCs w:val="24"/>
        </w:rPr>
        <w:t>i</w:t>
      </w:r>
      <w:r w:rsidRPr="000C03F3">
        <w:rPr>
          <w:rFonts w:ascii="Times New Roman" w:hAnsi="Times New Roman" w:cs="Times New Roman"/>
          <w:sz w:val="24"/>
          <w:szCs w:val="24"/>
        </w:rPr>
        <w:t>er of premises does not have superior rights to those of a finder</w:t>
      </w:r>
      <w:r w:rsidR="000C03F3" w:rsidRPr="000C03F3">
        <w:rPr>
          <w:rFonts w:ascii="Times New Roman" w:hAnsi="Times New Roman" w:cs="Times New Roman"/>
          <w:sz w:val="24"/>
          <w:szCs w:val="24"/>
        </w:rPr>
        <w:t xml:space="preserve"> in respect of goods found on or in the premises, except before the finding, the occu</w:t>
      </w:r>
      <w:r w:rsidR="000C03F3">
        <w:rPr>
          <w:rFonts w:ascii="Times New Roman" w:hAnsi="Times New Roman" w:cs="Times New Roman"/>
          <w:sz w:val="24"/>
          <w:szCs w:val="24"/>
        </w:rPr>
        <w:t>pier has manifested and intention to exercise control over the premises, and things on it.”</w:t>
      </w:r>
      <w:r w:rsidR="000C03F3">
        <w:rPr>
          <w:rStyle w:val="EndnoteReference"/>
          <w:rFonts w:ascii="Times New Roman" w:hAnsi="Times New Roman" w:cs="Times New Roman"/>
          <w:sz w:val="24"/>
          <w:szCs w:val="24"/>
        </w:rPr>
        <w:endnoteReference w:id="11"/>
      </w:r>
    </w:p>
    <w:p w:rsidR="007962E3" w:rsidRDefault="0064727E" w:rsidP="0064727E">
      <w:pPr>
        <w:spacing w:line="240" w:lineRule="auto"/>
        <w:rPr>
          <w:rFonts w:ascii="Times New Roman" w:hAnsi="Times New Roman" w:cs="Times New Roman"/>
          <w:b/>
          <w:sz w:val="24"/>
          <w:szCs w:val="24"/>
        </w:rPr>
      </w:pPr>
      <w:r>
        <w:rPr>
          <w:rFonts w:ascii="Times New Roman" w:hAnsi="Times New Roman" w:cs="Times New Roman"/>
          <w:b/>
          <w:sz w:val="24"/>
          <w:szCs w:val="24"/>
        </w:rPr>
        <w:t>WHO CAN SUE FOR TRESSPASS TO CHATTEL</w:t>
      </w:r>
    </w:p>
    <w:p w:rsidR="006D22D5" w:rsidRDefault="00EB1C2F" w:rsidP="0064727E">
      <w:pPr>
        <w:spacing w:line="240" w:lineRule="auto"/>
        <w:rPr>
          <w:rFonts w:ascii="Times New Roman" w:hAnsi="Times New Roman" w:cs="Times New Roman"/>
          <w:sz w:val="24"/>
          <w:szCs w:val="24"/>
        </w:rPr>
      </w:pPr>
      <w:r>
        <w:rPr>
          <w:rFonts w:ascii="Times New Roman" w:hAnsi="Times New Roman" w:cs="Times New Roman"/>
          <w:sz w:val="24"/>
          <w:szCs w:val="24"/>
        </w:rPr>
        <w:t>The main objective of the tort of trespass is to protect possession and the right to imm</w:t>
      </w:r>
      <w:r w:rsidR="006D22D5">
        <w:rPr>
          <w:rFonts w:ascii="Times New Roman" w:hAnsi="Times New Roman" w:cs="Times New Roman"/>
          <w:sz w:val="24"/>
          <w:szCs w:val="24"/>
        </w:rPr>
        <w:t>ediate possession, this means th</w:t>
      </w:r>
      <w:r w:rsidR="007962E3">
        <w:rPr>
          <w:rFonts w:ascii="Times New Roman" w:hAnsi="Times New Roman" w:cs="Times New Roman"/>
          <w:sz w:val="24"/>
          <w:szCs w:val="24"/>
        </w:rPr>
        <w:t>a</w:t>
      </w:r>
      <w:r w:rsidR="006D22D5">
        <w:rPr>
          <w:rFonts w:ascii="Times New Roman" w:hAnsi="Times New Roman" w:cs="Times New Roman"/>
          <w:sz w:val="24"/>
          <w:szCs w:val="24"/>
        </w:rPr>
        <w:t>t anyone who has possession or right to</w:t>
      </w:r>
      <w:r w:rsidR="006F6C84">
        <w:rPr>
          <w:rFonts w:ascii="Times New Roman" w:hAnsi="Times New Roman" w:cs="Times New Roman"/>
          <w:sz w:val="24"/>
          <w:szCs w:val="24"/>
        </w:rPr>
        <w:t xml:space="preserve"> </w:t>
      </w:r>
      <w:r w:rsidR="006D22D5">
        <w:rPr>
          <w:rFonts w:ascii="Times New Roman" w:hAnsi="Times New Roman" w:cs="Times New Roman"/>
          <w:sz w:val="24"/>
          <w:szCs w:val="24"/>
        </w:rPr>
        <w:t>immediate possession can sue. Persons who are deemed by law to have possession, in order for them to protect chattels left under their possession, also have the right to sue. These persons include; Owners, Bailees, Lenders, Assignees, Trustees, Finders etc.</w:t>
      </w:r>
      <w:r w:rsidR="006D22D5">
        <w:rPr>
          <w:rStyle w:val="EndnoteReference"/>
          <w:rFonts w:ascii="Times New Roman" w:hAnsi="Times New Roman" w:cs="Times New Roman"/>
          <w:sz w:val="24"/>
          <w:szCs w:val="24"/>
        </w:rPr>
        <w:endnoteReference w:id="12"/>
      </w:r>
    </w:p>
    <w:p w:rsidR="006D22D5" w:rsidRDefault="006D22D5" w:rsidP="0064727E">
      <w:pPr>
        <w:spacing w:line="240" w:lineRule="auto"/>
        <w:rPr>
          <w:rFonts w:ascii="Times New Roman" w:hAnsi="Times New Roman" w:cs="Times New Roman"/>
          <w:sz w:val="24"/>
          <w:szCs w:val="24"/>
        </w:rPr>
      </w:pPr>
    </w:p>
    <w:p w:rsidR="006D22D5" w:rsidRDefault="006D22D5" w:rsidP="0064727E">
      <w:pPr>
        <w:spacing w:line="240" w:lineRule="auto"/>
        <w:rPr>
          <w:rFonts w:ascii="Times New Roman" w:hAnsi="Times New Roman" w:cs="Times New Roman"/>
          <w:sz w:val="24"/>
          <w:szCs w:val="24"/>
        </w:rPr>
      </w:pPr>
    </w:p>
    <w:p w:rsidR="006D22D5" w:rsidRDefault="00AB07D5" w:rsidP="0064727E">
      <w:pPr>
        <w:spacing w:line="240" w:lineRule="auto"/>
        <w:rPr>
          <w:rFonts w:ascii="Times New Roman" w:hAnsi="Times New Roman" w:cs="Times New Roman"/>
          <w:b/>
          <w:sz w:val="24"/>
          <w:szCs w:val="24"/>
        </w:rPr>
      </w:pPr>
      <w:r>
        <w:rPr>
          <w:rFonts w:ascii="Times New Roman" w:hAnsi="Times New Roman" w:cs="Times New Roman"/>
          <w:b/>
          <w:sz w:val="24"/>
          <w:szCs w:val="24"/>
        </w:rPr>
        <w:t>DEFE</w:t>
      </w:r>
      <w:r w:rsidR="00223D87">
        <w:rPr>
          <w:rFonts w:ascii="Times New Roman" w:hAnsi="Times New Roman" w:cs="Times New Roman"/>
          <w:b/>
          <w:sz w:val="24"/>
          <w:szCs w:val="24"/>
        </w:rPr>
        <w:t>NS</w:t>
      </w:r>
      <w:r w:rsidR="006D22D5" w:rsidRPr="006D22D5">
        <w:rPr>
          <w:rFonts w:ascii="Times New Roman" w:hAnsi="Times New Roman" w:cs="Times New Roman"/>
          <w:b/>
          <w:sz w:val="24"/>
          <w:szCs w:val="24"/>
        </w:rPr>
        <w:t>ES FOR TRESPASS TO CHATTEL</w:t>
      </w:r>
    </w:p>
    <w:p w:rsidR="006D22D5" w:rsidRDefault="009A0B00" w:rsidP="0064727E">
      <w:pPr>
        <w:spacing w:line="240" w:lineRule="auto"/>
        <w:rPr>
          <w:rFonts w:ascii="Times New Roman" w:hAnsi="Times New Roman" w:cs="Times New Roman"/>
          <w:sz w:val="24"/>
          <w:szCs w:val="24"/>
        </w:rPr>
      </w:pPr>
      <w:r>
        <w:rPr>
          <w:rFonts w:ascii="Times New Roman" w:hAnsi="Times New Roman" w:cs="Times New Roman"/>
          <w:sz w:val="24"/>
          <w:szCs w:val="24"/>
        </w:rPr>
        <w:t xml:space="preserve">A defendant may raise up </w:t>
      </w:r>
      <w:r w:rsidR="00AB07D5">
        <w:rPr>
          <w:rFonts w:ascii="Times New Roman" w:hAnsi="Times New Roman" w:cs="Times New Roman"/>
          <w:sz w:val="24"/>
          <w:szCs w:val="24"/>
        </w:rPr>
        <w:t xml:space="preserve">the following </w:t>
      </w:r>
      <w:r w:rsidR="00223D87">
        <w:rPr>
          <w:rFonts w:ascii="Times New Roman" w:hAnsi="Times New Roman" w:cs="Times New Roman"/>
          <w:sz w:val="24"/>
          <w:szCs w:val="24"/>
        </w:rPr>
        <w:t>defenses</w:t>
      </w:r>
      <w:r w:rsidR="00AB07D5">
        <w:rPr>
          <w:rFonts w:ascii="Times New Roman" w:hAnsi="Times New Roman" w:cs="Times New Roman"/>
          <w:sz w:val="24"/>
          <w:szCs w:val="24"/>
        </w:rPr>
        <w:t>;</w:t>
      </w:r>
    </w:p>
    <w:p w:rsidR="00AB07D5" w:rsidRDefault="00AB07D5" w:rsidP="00AB07D5">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Inevitable accident</w:t>
      </w:r>
    </w:p>
    <w:p w:rsidR="00AB07D5" w:rsidRDefault="00AB07D5" w:rsidP="00AB07D5">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Honest conversion</w:t>
      </w:r>
    </w:p>
    <w:p w:rsidR="00AB07D5" w:rsidRDefault="00AB07D5" w:rsidP="00AB07D5">
      <w:pPr>
        <w:pStyle w:val="ListParagraph"/>
        <w:numPr>
          <w:ilvl w:val="0"/>
          <w:numId w:val="3"/>
        </w:numPr>
        <w:spacing w:line="240" w:lineRule="auto"/>
        <w:rPr>
          <w:rFonts w:ascii="Times New Roman" w:hAnsi="Times New Roman" w:cs="Times New Roman"/>
          <w:sz w:val="24"/>
          <w:szCs w:val="24"/>
        </w:rPr>
      </w:pPr>
      <w:r w:rsidRPr="00AB07D5">
        <w:rPr>
          <w:rFonts w:ascii="Times New Roman" w:hAnsi="Times New Roman" w:cs="Times New Roman"/>
          <w:sz w:val="24"/>
          <w:szCs w:val="24"/>
        </w:rPr>
        <w:t>Ju</w:t>
      </w:r>
      <w:r>
        <w:rPr>
          <w:rFonts w:ascii="Times New Roman" w:hAnsi="Times New Roman" w:cs="Times New Roman"/>
          <w:sz w:val="24"/>
          <w:szCs w:val="24"/>
        </w:rPr>
        <w:t>s tertii; better right of a third party</w:t>
      </w:r>
    </w:p>
    <w:p w:rsidR="00AB07D5" w:rsidRDefault="00AB07D5" w:rsidP="00AB07D5">
      <w:pPr>
        <w:pStyle w:val="ListParagraph"/>
        <w:numPr>
          <w:ilvl w:val="0"/>
          <w:numId w:val="3"/>
        </w:numPr>
        <w:spacing w:line="240" w:lineRule="auto"/>
        <w:rPr>
          <w:rFonts w:ascii="Times New Roman" w:hAnsi="Times New Roman" w:cs="Times New Roman"/>
          <w:sz w:val="24"/>
          <w:szCs w:val="24"/>
        </w:rPr>
      </w:pPr>
      <w:r w:rsidRPr="00223D87">
        <w:rPr>
          <w:rFonts w:ascii="Times New Roman" w:hAnsi="Times New Roman" w:cs="Times New Roman"/>
          <w:sz w:val="24"/>
          <w:szCs w:val="24"/>
        </w:rPr>
        <w:t>Subsisting lien</w:t>
      </w:r>
      <w:r w:rsidR="00223D87" w:rsidRPr="00223D87">
        <w:rPr>
          <w:rFonts w:ascii="Times New Roman" w:hAnsi="Times New Roman" w:cs="Times New Roman"/>
          <w:sz w:val="24"/>
          <w:szCs w:val="24"/>
        </w:rPr>
        <w:t>; continuous payment of secu</w:t>
      </w:r>
      <w:r w:rsidR="00223D87">
        <w:rPr>
          <w:rFonts w:ascii="Times New Roman" w:hAnsi="Times New Roman" w:cs="Times New Roman"/>
          <w:sz w:val="24"/>
          <w:szCs w:val="24"/>
        </w:rPr>
        <w:t>rity interest over a property</w:t>
      </w:r>
    </w:p>
    <w:p w:rsidR="00223D87" w:rsidRDefault="00223D87" w:rsidP="00AB07D5">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Limitation time.</w:t>
      </w:r>
    </w:p>
    <w:p w:rsidR="00223D87" w:rsidRDefault="00223D87" w:rsidP="00223D87">
      <w:pPr>
        <w:spacing w:line="240" w:lineRule="auto"/>
        <w:rPr>
          <w:rFonts w:ascii="Times New Roman" w:hAnsi="Times New Roman" w:cs="Times New Roman"/>
          <w:b/>
          <w:sz w:val="24"/>
          <w:szCs w:val="24"/>
        </w:rPr>
      </w:pPr>
      <w:r>
        <w:rPr>
          <w:rFonts w:ascii="Times New Roman" w:hAnsi="Times New Roman" w:cs="Times New Roman"/>
          <w:b/>
          <w:sz w:val="24"/>
          <w:szCs w:val="24"/>
        </w:rPr>
        <w:t>REMEDIES</w:t>
      </w:r>
    </w:p>
    <w:p w:rsidR="00223D87" w:rsidRDefault="00223D87" w:rsidP="00223D87">
      <w:pPr>
        <w:spacing w:line="240" w:lineRule="auto"/>
        <w:rPr>
          <w:rFonts w:ascii="Times New Roman" w:hAnsi="Times New Roman" w:cs="Times New Roman"/>
          <w:sz w:val="24"/>
          <w:szCs w:val="24"/>
        </w:rPr>
      </w:pPr>
      <w:r>
        <w:rPr>
          <w:rFonts w:ascii="Times New Roman" w:hAnsi="Times New Roman" w:cs="Times New Roman"/>
          <w:sz w:val="24"/>
          <w:szCs w:val="24"/>
        </w:rPr>
        <w:t>Remedies available to an aggrieved party include</w:t>
      </w:r>
    </w:p>
    <w:p w:rsidR="00223D87" w:rsidRDefault="00223D87" w:rsidP="00223D87">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Payment of damages</w:t>
      </w:r>
    </w:p>
    <w:p w:rsidR="00223D87" w:rsidRDefault="00223D87" w:rsidP="00223D87">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Replacement of chattel</w:t>
      </w:r>
    </w:p>
    <w:p w:rsidR="00223D87" w:rsidRDefault="00223D87" w:rsidP="00223D87">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Payment of market price</w:t>
      </w:r>
    </w:p>
    <w:p w:rsidR="00223D87" w:rsidRDefault="00223D87" w:rsidP="00223D87">
      <w:pPr>
        <w:pStyle w:val="ListParagraph"/>
        <w:numPr>
          <w:ilvl w:val="0"/>
          <w:numId w:val="5"/>
        </w:numPr>
        <w:spacing w:line="240" w:lineRule="auto"/>
        <w:rPr>
          <w:rFonts w:ascii="Times New Roman" w:hAnsi="Times New Roman" w:cs="Times New Roman"/>
          <w:sz w:val="24"/>
          <w:szCs w:val="24"/>
        </w:rPr>
      </w:pPr>
      <w:r w:rsidRPr="00223D87">
        <w:rPr>
          <w:rFonts w:ascii="Times New Roman" w:hAnsi="Times New Roman" w:cs="Times New Roman"/>
          <w:sz w:val="24"/>
          <w:szCs w:val="24"/>
        </w:rPr>
        <w:t>Repair of damages</w:t>
      </w:r>
    </w:p>
    <w:p w:rsidR="00223D87" w:rsidRDefault="000C5A95" w:rsidP="00223D87">
      <w:pPr>
        <w:spacing w:line="240" w:lineRule="auto"/>
        <w:rPr>
          <w:rFonts w:ascii="Times New Roman" w:hAnsi="Times New Roman" w:cs="Times New Roman"/>
          <w:b/>
          <w:sz w:val="24"/>
          <w:szCs w:val="24"/>
        </w:rPr>
      </w:pPr>
      <w:r>
        <w:rPr>
          <w:rFonts w:ascii="Times New Roman" w:hAnsi="Times New Roman" w:cs="Times New Roman"/>
          <w:b/>
          <w:sz w:val="24"/>
          <w:szCs w:val="24"/>
        </w:rPr>
        <w:t>DEFENSES FOR CONVERSION</w:t>
      </w:r>
    </w:p>
    <w:p w:rsidR="000C5A95" w:rsidRDefault="000C5A95" w:rsidP="000C5A95">
      <w:pPr>
        <w:pStyle w:val="ListParagraph"/>
        <w:numPr>
          <w:ilvl w:val="0"/>
          <w:numId w:val="3"/>
        </w:numPr>
        <w:spacing w:line="240" w:lineRule="auto"/>
        <w:rPr>
          <w:rFonts w:ascii="Times New Roman" w:hAnsi="Times New Roman" w:cs="Times New Roman"/>
          <w:sz w:val="24"/>
          <w:szCs w:val="24"/>
        </w:rPr>
      </w:pPr>
      <w:r w:rsidRPr="00AB07D5">
        <w:rPr>
          <w:rFonts w:ascii="Times New Roman" w:hAnsi="Times New Roman" w:cs="Times New Roman"/>
          <w:sz w:val="24"/>
          <w:szCs w:val="24"/>
        </w:rPr>
        <w:t>Ju</w:t>
      </w:r>
      <w:r>
        <w:rPr>
          <w:rFonts w:ascii="Times New Roman" w:hAnsi="Times New Roman" w:cs="Times New Roman"/>
          <w:sz w:val="24"/>
          <w:szCs w:val="24"/>
        </w:rPr>
        <w:t>s tertii; better right of a third party</w:t>
      </w:r>
    </w:p>
    <w:p w:rsidR="000C5A95" w:rsidRDefault="000C5A95" w:rsidP="000C5A95">
      <w:pPr>
        <w:pStyle w:val="ListParagraph"/>
        <w:numPr>
          <w:ilvl w:val="0"/>
          <w:numId w:val="6"/>
        </w:numPr>
        <w:spacing w:line="240" w:lineRule="auto"/>
        <w:rPr>
          <w:rFonts w:ascii="Times New Roman" w:hAnsi="Times New Roman" w:cs="Times New Roman"/>
          <w:sz w:val="24"/>
          <w:szCs w:val="24"/>
        </w:rPr>
      </w:pPr>
      <w:r w:rsidRPr="00223D87">
        <w:rPr>
          <w:rFonts w:ascii="Times New Roman" w:hAnsi="Times New Roman" w:cs="Times New Roman"/>
          <w:sz w:val="24"/>
          <w:szCs w:val="24"/>
        </w:rPr>
        <w:t>Subsisting lien</w:t>
      </w:r>
    </w:p>
    <w:p w:rsidR="000C5A95" w:rsidRDefault="000C5A95" w:rsidP="000C5A95">
      <w:pPr>
        <w:pStyle w:val="ListParagraph"/>
        <w:numPr>
          <w:ilvl w:val="0"/>
          <w:numId w:val="6"/>
        </w:numPr>
        <w:spacing w:line="240" w:lineRule="auto"/>
        <w:rPr>
          <w:rFonts w:ascii="Times New Roman" w:hAnsi="Times New Roman" w:cs="Times New Roman"/>
          <w:sz w:val="24"/>
          <w:szCs w:val="24"/>
        </w:rPr>
      </w:pPr>
      <w:r w:rsidRPr="000C5A95">
        <w:rPr>
          <w:rFonts w:ascii="Times New Roman" w:hAnsi="Times New Roman" w:cs="Times New Roman"/>
          <w:sz w:val="24"/>
          <w:szCs w:val="24"/>
        </w:rPr>
        <w:t>Su</w:t>
      </w:r>
      <w:r>
        <w:rPr>
          <w:rFonts w:ascii="Times New Roman" w:hAnsi="Times New Roman" w:cs="Times New Roman"/>
          <w:sz w:val="24"/>
          <w:szCs w:val="24"/>
        </w:rPr>
        <w:t>bsisting bailment</w:t>
      </w:r>
    </w:p>
    <w:p w:rsidR="006B55A0" w:rsidRDefault="006B55A0" w:rsidP="000C5A95">
      <w:pPr>
        <w:pStyle w:val="ListParagraph"/>
        <w:numPr>
          <w:ilvl w:val="0"/>
          <w:numId w:val="6"/>
        </w:numPr>
        <w:spacing w:line="240" w:lineRule="auto"/>
        <w:rPr>
          <w:rFonts w:ascii="Times New Roman" w:hAnsi="Times New Roman" w:cs="Times New Roman"/>
          <w:sz w:val="24"/>
          <w:szCs w:val="24"/>
        </w:rPr>
      </w:pPr>
      <w:r w:rsidRPr="006B55A0">
        <w:rPr>
          <w:rFonts w:ascii="Times New Roman" w:hAnsi="Times New Roman" w:cs="Times New Roman"/>
          <w:sz w:val="24"/>
          <w:szCs w:val="24"/>
        </w:rPr>
        <w:t>Temporary retention; to allow steps to be taken to check the title of the claimant. A defendant can temporarily refuse to give up his goods, while steps are taken to verify the title of the plaintiff who is claiming title before the chattel is handed over to the plaintiff if he is fou</w:t>
      </w:r>
      <w:r>
        <w:rPr>
          <w:rFonts w:ascii="Times New Roman" w:hAnsi="Times New Roman" w:cs="Times New Roman"/>
          <w:sz w:val="24"/>
          <w:szCs w:val="24"/>
        </w:rPr>
        <w:t>nd to be the owner</w:t>
      </w:r>
    </w:p>
    <w:p w:rsidR="006B55A0" w:rsidRDefault="006B55A0" w:rsidP="000C5A95">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Limitation of time</w:t>
      </w:r>
    </w:p>
    <w:p w:rsidR="006B55A0" w:rsidRDefault="006B55A0" w:rsidP="006B55A0">
      <w:pPr>
        <w:spacing w:line="240" w:lineRule="auto"/>
        <w:rPr>
          <w:rFonts w:ascii="Times New Roman" w:hAnsi="Times New Roman" w:cs="Times New Roman"/>
          <w:b/>
          <w:sz w:val="24"/>
          <w:szCs w:val="24"/>
        </w:rPr>
      </w:pPr>
      <w:r>
        <w:rPr>
          <w:rFonts w:ascii="Times New Roman" w:hAnsi="Times New Roman" w:cs="Times New Roman"/>
          <w:sz w:val="24"/>
          <w:szCs w:val="24"/>
        </w:rPr>
        <w:lastRenderedPageBreak/>
        <w:t xml:space="preserve">Jus </w:t>
      </w:r>
      <w:r w:rsidR="0023116D">
        <w:rPr>
          <w:rFonts w:ascii="Times New Roman" w:hAnsi="Times New Roman" w:cs="Times New Roman"/>
          <w:sz w:val="24"/>
          <w:szCs w:val="24"/>
        </w:rPr>
        <w:t>tertii</w:t>
      </w:r>
      <w:r>
        <w:rPr>
          <w:rFonts w:ascii="Times New Roman" w:hAnsi="Times New Roman" w:cs="Times New Roman"/>
          <w:sz w:val="24"/>
          <w:szCs w:val="24"/>
        </w:rPr>
        <w:t xml:space="preserve"> is the right of a third party to the chattel, goods and property in dispute. The general rule states that the defendant cannot plead that the claimant is not entitled to possession as against him, because a third party is the true owner of the chattel. A defendant can only plead Jus tertii, if he’s acting under the authority of the true owner.</w:t>
      </w:r>
      <w:r w:rsidR="0023116D">
        <w:rPr>
          <w:rFonts w:ascii="Times New Roman" w:hAnsi="Times New Roman" w:cs="Times New Roman"/>
          <w:sz w:val="24"/>
          <w:szCs w:val="24"/>
        </w:rPr>
        <w:t xml:space="preserve"> </w:t>
      </w:r>
      <w:r w:rsidR="0023116D">
        <w:rPr>
          <w:rFonts w:ascii="Times New Roman" w:hAnsi="Times New Roman" w:cs="Times New Roman"/>
          <w:b/>
          <w:sz w:val="24"/>
          <w:szCs w:val="24"/>
        </w:rPr>
        <w:t>C.O.P v OGUNTAYO</w:t>
      </w:r>
    </w:p>
    <w:p w:rsidR="0023116D" w:rsidRDefault="0023116D" w:rsidP="006B55A0">
      <w:pPr>
        <w:spacing w:line="240" w:lineRule="auto"/>
        <w:rPr>
          <w:rFonts w:ascii="Times New Roman" w:hAnsi="Times New Roman" w:cs="Times New Roman"/>
          <w:b/>
          <w:sz w:val="24"/>
          <w:szCs w:val="24"/>
        </w:rPr>
      </w:pPr>
      <w:r>
        <w:rPr>
          <w:rFonts w:ascii="Times New Roman" w:hAnsi="Times New Roman" w:cs="Times New Roman"/>
          <w:b/>
          <w:sz w:val="24"/>
          <w:szCs w:val="24"/>
        </w:rPr>
        <w:t>REMEDIES FOR CONVERSION</w:t>
      </w:r>
    </w:p>
    <w:p w:rsidR="0023116D" w:rsidRDefault="0023116D" w:rsidP="0023116D">
      <w:pPr>
        <w:spacing w:line="240" w:lineRule="auto"/>
        <w:rPr>
          <w:rFonts w:ascii="Times New Roman" w:hAnsi="Times New Roman" w:cs="Times New Roman"/>
          <w:sz w:val="24"/>
          <w:szCs w:val="24"/>
        </w:rPr>
      </w:pPr>
      <w:r>
        <w:rPr>
          <w:rFonts w:ascii="Times New Roman" w:hAnsi="Times New Roman" w:cs="Times New Roman"/>
          <w:sz w:val="24"/>
          <w:szCs w:val="24"/>
        </w:rPr>
        <w:t>In a claim for conversion of chattel, the court may order any or a combination of the following remedies.</w:t>
      </w:r>
    </w:p>
    <w:p w:rsidR="0023116D" w:rsidRDefault="0023116D" w:rsidP="0023116D">
      <w:pPr>
        <w:pStyle w:val="ListParagraph"/>
        <w:numPr>
          <w:ilvl w:val="0"/>
          <w:numId w:val="8"/>
        </w:numPr>
        <w:spacing w:line="240" w:lineRule="auto"/>
        <w:rPr>
          <w:rFonts w:ascii="Times New Roman" w:hAnsi="Times New Roman" w:cs="Times New Roman"/>
          <w:sz w:val="24"/>
          <w:szCs w:val="24"/>
        </w:rPr>
      </w:pPr>
      <w:r w:rsidRPr="0023116D">
        <w:rPr>
          <w:rFonts w:ascii="Times New Roman" w:hAnsi="Times New Roman" w:cs="Times New Roman"/>
          <w:sz w:val="24"/>
          <w:szCs w:val="24"/>
        </w:rPr>
        <w:t>Order for delivery, return or specific restitu</w:t>
      </w:r>
      <w:r>
        <w:rPr>
          <w:rFonts w:ascii="Times New Roman" w:hAnsi="Times New Roman" w:cs="Times New Roman"/>
          <w:sz w:val="24"/>
          <w:szCs w:val="24"/>
        </w:rPr>
        <w:t>tion of the goods</w:t>
      </w:r>
    </w:p>
    <w:p w:rsidR="0023116D" w:rsidRDefault="0023116D" w:rsidP="0023116D">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Alternative order for payment of market price</w:t>
      </w:r>
    </w:p>
    <w:p w:rsidR="0023116D" w:rsidRDefault="0023116D" w:rsidP="0023116D">
      <w:pPr>
        <w:pStyle w:val="ListParagraph"/>
        <w:numPr>
          <w:ilvl w:val="0"/>
          <w:numId w:val="8"/>
        </w:numPr>
        <w:spacing w:line="240" w:lineRule="auto"/>
        <w:rPr>
          <w:rFonts w:ascii="Times New Roman" w:hAnsi="Times New Roman" w:cs="Times New Roman"/>
          <w:sz w:val="24"/>
          <w:szCs w:val="24"/>
        </w:rPr>
      </w:pPr>
      <w:r w:rsidRPr="0023116D">
        <w:rPr>
          <w:rFonts w:ascii="Times New Roman" w:hAnsi="Times New Roman" w:cs="Times New Roman"/>
          <w:sz w:val="24"/>
          <w:szCs w:val="24"/>
        </w:rPr>
        <w:t>An order for payment of consequ</w:t>
      </w:r>
      <w:r>
        <w:rPr>
          <w:rFonts w:ascii="Times New Roman" w:hAnsi="Times New Roman" w:cs="Times New Roman"/>
          <w:sz w:val="24"/>
          <w:szCs w:val="24"/>
        </w:rPr>
        <w:t>ential damages</w:t>
      </w:r>
    </w:p>
    <w:p w:rsidR="0023116D" w:rsidRDefault="0023116D" w:rsidP="0023116D">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Recovery of special and general damage</w:t>
      </w:r>
    </w:p>
    <w:p w:rsidR="0023116D" w:rsidRDefault="0023116D" w:rsidP="0023116D">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General damages</w:t>
      </w:r>
    </w:p>
    <w:p w:rsidR="00600867" w:rsidRDefault="008A75BA" w:rsidP="00563D4D">
      <w:pPr>
        <w:spacing w:line="240" w:lineRule="auto"/>
        <w:rPr>
          <w:rFonts w:ascii="Times New Roman" w:hAnsi="Times New Roman" w:cs="Times New Roman"/>
          <w:b/>
          <w:sz w:val="24"/>
          <w:szCs w:val="24"/>
        </w:rPr>
      </w:pPr>
      <w:r>
        <w:rPr>
          <w:rFonts w:ascii="Times New Roman" w:hAnsi="Times New Roman" w:cs="Times New Roman"/>
          <w:b/>
          <w:sz w:val="24"/>
          <w:szCs w:val="24"/>
        </w:rPr>
        <w:t>DEFENSES FOR DETINUE</w:t>
      </w:r>
    </w:p>
    <w:p w:rsidR="00600867" w:rsidRDefault="00600867" w:rsidP="00563D4D">
      <w:pPr>
        <w:spacing w:line="240" w:lineRule="auto"/>
        <w:rPr>
          <w:rFonts w:ascii="Times New Roman" w:hAnsi="Times New Roman" w:cs="Times New Roman"/>
          <w:sz w:val="24"/>
          <w:szCs w:val="24"/>
        </w:rPr>
      </w:pPr>
      <w:r>
        <w:rPr>
          <w:rFonts w:ascii="Times New Roman" w:hAnsi="Times New Roman" w:cs="Times New Roman"/>
          <w:sz w:val="24"/>
          <w:szCs w:val="24"/>
        </w:rPr>
        <w:t>In an action for Detinue, the defendant may plead that;</w:t>
      </w:r>
    </w:p>
    <w:p w:rsidR="00600867" w:rsidRDefault="00600867" w:rsidP="00600867">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He has mere possession of the goods</w:t>
      </w:r>
    </w:p>
    <w:p w:rsidR="00600867" w:rsidRDefault="00600867" w:rsidP="00600867">
      <w:pPr>
        <w:pStyle w:val="ListParagraph"/>
        <w:numPr>
          <w:ilvl w:val="0"/>
          <w:numId w:val="12"/>
        </w:numPr>
        <w:spacing w:line="240" w:lineRule="auto"/>
        <w:rPr>
          <w:rFonts w:ascii="Times New Roman" w:hAnsi="Times New Roman" w:cs="Times New Roman"/>
          <w:sz w:val="24"/>
          <w:szCs w:val="24"/>
        </w:rPr>
      </w:pPr>
      <w:r w:rsidRPr="00600867">
        <w:rPr>
          <w:rFonts w:ascii="Times New Roman" w:hAnsi="Times New Roman" w:cs="Times New Roman"/>
          <w:sz w:val="24"/>
          <w:szCs w:val="24"/>
        </w:rPr>
        <w:t xml:space="preserve">The plaintiff had </w:t>
      </w:r>
      <w:r>
        <w:rPr>
          <w:rFonts w:ascii="Times New Roman" w:hAnsi="Times New Roman" w:cs="Times New Roman"/>
          <w:sz w:val="24"/>
          <w:szCs w:val="24"/>
        </w:rPr>
        <w:t>insufficient title compared to himself</w:t>
      </w:r>
    </w:p>
    <w:p w:rsidR="00600867" w:rsidRDefault="00600867" w:rsidP="00600867">
      <w:pPr>
        <w:pStyle w:val="ListParagraph"/>
        <w:numPr>
          <w:ilvl w:val="0"/>
          <w:numId w:val="12"/>
        </w:numPr>
        <w:spacing w:line="240" w:lineRule="auto"/>
        <w:rPr>
          <w:rFonts w:ascii="Times New Roman" w:hAnsi="Times New Roman" w:cs="Times New Roman"/>
          <w:sz w:val="24"/>
          <w:szCs w:val="24"/>
        </w:rPr>
      </w:pPr>
      <w:r w:rsidRPr="00600867">
        <w:rPr>
          <w:rFonts w:ascii="Times New Roman" w:hAnsi="Times New Roman" w:cs="Times New Roman"/>
          <w:sz w:val="24"/>
          <w:szCs w:val="24"/>
        </w:rPr>
        <w:t>The defendant may plead j</w:t>
      </w:r>
      <w:r>
        <w:rPr>
          <w:rFonts w:ascii="Times New Roman" w:hAnsi="Times New Roman" w:cs="Times New Roman"/>
          <w:sz w:val="24"/>
          <w:szCs w:val="24"/>
        </w:rPr>
        <w:t>us tertii;</w:t>
      </w:r>
      <w:r w:rsidRPr="00600867">
        <w:rPr>
          <w:rFonts w:ascii="Times New Roman" w:hAnsi="Times New Roman" w:cs="Times New Roman"/>
          <w:sz w:val="24"/>
          <w:szCs w:val="24"/>
        </w:rPr>
        <w:t xml:space="preserve"> that is, that a third party has a better title provided the defendant is the agent, or has the authority of the third party, or is claiming u</w:t>
      </w:r>
      <w:r>
        <w:rPr>
          <w:rFonts w:ascii="Times New Roman" w:hAnsi="Times New Roman" w:cs="Times New Roman"/>
          <w:sz w:val="24"/>
          <w:szCs w:val="24"/>
        </w:rPr>
        <w:t>nder the third party. It is a defense based on ownership by a third party.</w:t>
      </w:r>
    </w:p>
    <w:p w:rsidR="00600867" w:rsidRDefault="00600867" w:rsidP="00600867">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Innocent delivery</w:t>
      </w:r>
    </w:p>
    <w:p w:rsidR="00600867" w:rsidRDefault="00600867" w:rsidP="00600867">
      <w:pPr>
        <w:pStyle w:val="ListParagraph"/>
        <w:numPr>
          <w:ilvl w:val="0"/>
          <w:numId w:val="12"/>
        </w:numPr>
        <w:spacing w:line="240" w:lineRule="auto"/>
        <w:rPr>
          <w:rFonts w:ascii="Times New Roman" w:hAnsi="Times New Roman" w:cs="Times New Roman"/>
          <w:sz w:val="24"/>
          <w:szCs w:val="24"/>
        </w:rPr>
      </w:pPr>
      <w:r w:rsidRPr="00600867">
        <w:rPr>
          <w:rFonts w:ascii="Times New Roman" w:hAnsi="Times New Roman" w:cs="Times New Roman"/>
          <w:sz w:val="24"/>
          <w:szCs w:val="24"/>
        </w:rPr>
        <w:t>Su</w:t>
      </w:r>
      <w:r>
        <w:rPr>
          <w:rFonts w:ascii="Times New Roman" w:hAnsi="Times New Roman" w:cs="Times New Roman"/>
          <w:sz w:val="24"/>
          <w:szCs w:val="24"/>
        </w:rPr>
        <w:t>bsisting bailment</w:t>
      </w:r>
    </w:p>
    <w:p w:rsidR="00600867" w:rsidRDefault="00600867" w:rsidP="00600867">
      <w:pPr>
        <w:pStyle w:val="ListParagraph"/>
        <w:numPr>
          <w:ilvl w:val="0"/>
          <w:numId w:val="12"/>
        </w:numPr>
        <w:spacing w:line="240" w:lineRule="auto"/>
        <w:rPr>
          <w:rFonts w:ascii="Times New Roman" w:hAnsi="Times New Roman" w:cs="Times New Roman"/>
          <w:sz w:val="24"/>
          <w:szCs w:val="24"/>
        </w:rPr>
      </w:pPr>
      <w:r w:rsidRPr="00600867">
        <w:rPr>
          <w:rFonts w:ascii="Times New Roman" w:hAnsi="Times New Roman" w:cs="Times New Roman"/>
          <w:sz w:val="24"/>
          <w:szCs w:val="24"/>
        </w:rPr>
        <w:t>Su</w:t>
      </w:r>
      <w:r>
        <w:rPr>
          <w:rFonts w:ascii="Times New Roman" w:hAnsi="Times New Roman" w:cs="Times New Roman"/>
          <w:sz w:val="24"/>
          <w:szCs w:val="24"/>
        </w:rPr>
        <w:t>bsisting lien on the chattel</w:t>
      </w:r>
    </w:p>
    <w:p w:rsidR="00600867" w:rsidRDefault="00600867" w:rsidP="00600867">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Inevitable accident</w:t>
      </w:r>
    </w:p>
    <w:p w:rsidR="000A115F" w:rsidRDefault="000A115F" w:rsidP="00600867">
      <w:pPr>
        <w:pStyle w:val="ListParagraph"/>
        <w:numPr>
          <w:ilvl w:val="0"/>
          <w:numId w:val="12"/>
        </w:numPr>
        <w:spacing w:line="240" w:lineRule="auto"/>
        <w:rPr>
          <w:rFonts w:ascii="Times New Roman" w:hAnsi="Times New Roman" w:cs="Times New Roman"/>
          <w:sz w:val="24"/>
          <w:szCs w:val="24"/>
        </w:rPr>
      </w:pPr>
      <w:r w:rsidRPr="000A115F">
        <w:rPr>
          <w:rFonts w:ascii="Times New Roman" w:hAnsi="Times New Roman" w:cs="Times New Roman"/>
          <w:sz w:val="24"/>
          <w:szCs w:val="24"/>
        </w:rPr>
        <w:t>Reasonable defense of a person or property, such as when one beats or inju</w:t>
      </w:r>
      <w:r>
        <w:rPr>
          <w:rFonts w:ascii="Times New Roman" w:hAnsi="Times New Roman" w:cs="Times New Roman"/>
          <w:sz w:val="24"/>
          <w:szCs w:val="24"/>
        </w:rPr>
        <w:t>res a dog that was attacking him or another person</w:t>
      </w:r>
    </w:p>
    <w:p w:rsidR="000A115F" w:rsidRDefault="000A115F" w:rsidP="000A115F">
      <w:pPr>
        <w:spacing w:line="240" w:lineRule="auto"/>
        <w:rPr>
          <w:rFonts w:ascii="Times New Roman" w:hAnsi="Times New Roman" w:cs="Times New Roman"/>
          <w:b/>
          <w:sz w:val="24"/>
          <w:szCs w:val="24"/>
        </w:rPr>
      </w:pPr>
      <w:r>
        <w:rPr>
          <w:rFonts w:ascii="Times New Roman" w:hAnsi="Times New Roman" w:cs="Times New Roman"/>
          <w:b/>
          <w:sz w:val="24"/>
          <w:szCs w:val="24"/>
        </w:rPr>
        <w:t>REMEDIES FOR DETINUE</w:t>
      </w:r>
    </w:p>
    <w:p w:rsidR="000A115F" w:rsidRPr="00673E4E" w:rsidRDefault="000A115F" w:rsidP="000A115F">
      <w:pPr>
        <w:pStyle w:val="ListParagraph"/>
        <w:numPr>
          <w:ilvl w:val="0"/>
          <w:numId w:val="13"/>
        </w:numPr>
        <w:spacing w:line="240" w:lineRule="auto"/>
        <w:rPr>
          <w:rFonts w:ascii="Times New Roman" w:hAnsi="Times New Roman" w:cs="Times New Roman"/>
          <w:b/>
          <w:sz w:val="24"/>
          <w:szCs w:val="24"/>
        </w:rPr>
      </w:pPr>
      <w:r w:rsidRPr="00673E4E">
        <w:rPr>
          <w:rFonts w:ascii="Times New Roman" w:hAnsi="Times New Roman" w:cs="Times New Roman"/>
          <w:sz w:val="24"/>
          <w:szCs w:val="24"/>
        </w:rPr>
        <w:t>Claim for return of chattel</w:t>
      </w:r>
      <w:r w:rsidR="00673E4E" w:rsidRPr="00673E4E">
        <w:rPr>
          <w:rFonts w:ascii="Times New Roman" w:hAnsi="Times New Roman" w:cs="Times New Roman"/>
          <w:sz w:val="24"/>
          <w:szCs w:val="24"/>
        </w:rPr>
        <w:t>;  the plaintiff may demand a retu</w:t>
      </w:r>
      <w:r w:rsidR="00673E4E">
        <w:rPr>
          <w:rFonts w:ascii="Times New Roman" w:hAnsi="Times New Roman" w:cs="Times New Roman"/>
          <w:sz w:val="24"/>
          <w:szCs w:val="24"/>
        </w:rPr>
        <w:t>rn of the specific chattel, if the chattel has not been damaged in any way</w:t>
      </w:r>
    </w:p>
    <w:p w:rsidR="00673E4E" w:rsidRPr="00673E4E" w:rsidRDefault="00673E4E" w:rsidP="000A115F">
      <w:pPr>
        <w:pStyle w:val="ListParagraph"/>
        <w:numPr>
          <w:ilvl w:val="0"/>
          <w:numId w:val="13"/>
        </w:numPr>
        <w:spacing w:line="240" w:lineRule="auto"/>
        <w:rPr>
          <w:rFonts w:ascii="Times New Roman" w:hAnsi="Times New Roman" w:cs="Times New Roman"/>
          <w:b/>
          <w:sz w:val="24"/>
          <w:szCs w:val="24"/>
        </w:rPr>
      </w:pPr>
      <w:r w:rsidRPr="00673E4E">
        <w:rPr>
          <w:rFonts w:ascii="Times New Roman" w:hAnsi="Times New Roman" w:cs="Times New Roman"/>
          <w:sz w:val="24"/>
          <w:szCs w:val="24"/>
        </w:rPr>
        <w:t>Replacement of chattel; the defendant may be ordered to replace the chattel by supplying an identical chattel. Manufacturers of products can easily do this by replacing the chattel or su</w:t>
      </w:r>
      <w:r>
        <w:rPr>
          <w:rFonts w:ascii="Times New Roman" w:hAnsi="Times New Roman" w:cs="Times New Roman"/>
          <w:sz w:val="24"/>
          <w:szCs w:val="24"/>
        </w:rPr>
        <w:t>pplying a new one.</w:t>
      </w:r>
    </w:p>
    <w:p w:rsidR="00673E4E" w:rsidRPr="004538A8" w:rsidRDefault="00673E4E" w:rsidP="000A115F">
      <w:pPr>
        <w:pStyle w:val="ListParagraph"/>
        <w:numPr>
          <w:ilvl w:val="0"/>
          <w:numId w:val="13"/>
        </w:numPr>
        <w:spacing w:line="240" w:lineRule="auto"/>
        <w:rPr>
          <w:rFonts w:ascii="Times New Roman" w:hAnsi="Times New Roman" w:cs="Times New Roman"/>
          <w:b/>
          <w:sz w:val="24"/>
          <w:szCs w:val="24"/>
        </w:rPr>
      </w:pPr>
      <w:r w:rsidRPr="004538A8">
        <w:rPr>
          <w:rFonts w:ascii="Times New Roman" w:hAnsi="Times New Roman" w:cs="Times New Roman"/>
          <w:sz w:val="24"/>
          <w:szCs w:val="24"/>
        </w:rPr>
        <w:t>Recapture or Self help; a person who has rightful possession to a chattel may result to self help in order to retrieve his chattel, by use of reasonable force. He must not however trespass through an innocent party’s land except with permission</w:t>
      </w:r>
      <w:r w:rsidR="00F70C91" w:rsidRPr="004538A8">
        <w:rPr>
          <w:rFonts w:ascii="Times New Roman" w:hAnsi="Times New Roman" w:cs="Times New Roman"/>
          <w:sz w:val="24"/>
          <w:szCs w:val="24"/>
        </w:rPr>
        <w:t>. The court usually frowns at the option, because it might lead to breach of peace and other offences</w:t>
      </w:r>
      <w:r w:rsidR="004538A8" w:rsidRPr="004538A8">
        <w:rPr>
          <w:rFonts w:ascii="Times New Roman" w:hAnsi="Times New Roman" w:cs="Times New Roman"/>
          <w:sz w:val="24"/>
          <w:szCs w:val="24"/>
        </w:rPr>
        <w:t>. Plaintiffs are thu</w:t>
      </w:r>
      <w:r w:rsidR="004538A8">
        <w:rPr>
          <w:rFonts w:ascii="Times New Roman" w:hAnsi="Times New Roman" w:cs="Times New Roman"/>
          <w:sz w:val="24"/>
          <w:szCs w:val="24"/>
        </w:rPr>
        <w:t>s advised to avoid this option.</w:t>
      </w:r>
    </w:p>
    <w:p w:rsidR="004538A8" w:rsidRPr="00772392" w:rsidRDefault="004538A8" w:rsidP="000A115F">
      <w:pPr>
        <w:pStyle w:val="ListParagraph"/>
        <w:numPr>
          <w:ilvl w:val="0"/>
          <w:numId w:val="13"/>
        </w:numPr>
        <w:spacing w:line="240" w:lineRule="auto"/>
        <w:rPr>
          <w:rFonts w:ascii="Times New Roman" w:hAnsi="Times New Roman" w:cs="Times New Roman"/>
          <w:b/>
          <w:sz w:val="24"/>
          <w:szCs w:val="24"/>
        </w:rPr>
      </w:pPr>
      <w:r w:rsidRPr="00504C1A">
        <w:rPr>
          <w:rFonts w:ascii="Times New Roman" w:hAnsi="Times New Roman" w:cs="Times New Roman"/>
          <w:sz w:val="24"/>
          <w:szCs w:val="24"/>
        </w:rPr>
        <w:t>Replevin or Release on bond; h ere the chattel is released to the authorities, will there is a determination of ownership.</w:t>
      </w:r>
      <w:r w:rsidR="00504C1A" w:rsidRPr="00504C1A">
        <w:rPr>
          <w:rFonts w:ascii="Times New Roman" w:hAnsi="Times New Roman" w:cs="Times New Roman"/>
          <w:sz w:val="24"/>
          <w:szCs w:val="24"/>
        </w:rPr>
        <w:t xml:space="preserve"> It is the re-delivery to an owner of goods which were wrongfully seized, the action for such re-delivery, and specific and general damages suffered by him as a resu</w:t>
      </w:r>
      <w:r w:rsidR="00504C1A">
        <w:rPr>
          <w:rFonts w:ascii="Times New Roman" w:hAnsi="Times New Roman" w:cs="Times New Roman"/>
          <w:sz w:val="24"/>
          <w:szCs w:val="24"/>
        </w:rPr>
        <w:t>lt of the detention</w:t>
      </w:r>
    </w:p>
    <w:p w:rsidR="00772392" w:rsidRPr="000A115F" w:rsidRDefault="00772392" w:rsidP="000A115F">
      <w:pPr>
        <w:pStyle w:val="ListParagraph"/>
        <w:numPr>
          <w:ilvl w:val="0"/>
          <w:numId w:val="13"/>
        </w:numPr>
        <w:spacing w:line="240" w:lineRule="auto"/>
        <w:rPr>
          <w:rFonts w:ascii="Times New Roman" w:hAnsi="Times New Roman" w:cs="Times New Roman"/>
          <w:b/>
          <w:sz w:val="24"/>
          <w:szCs w:val="24"/>
        </w:rPr>
      </w:pPr>
      <w:r w:rsidRPr="00946964">
        <w:rPr>
          <w:rFonts w:ascii="Times New Roman" w:hAnsi="Times New Roman" w:cs="Times New Roman"/>
          <w:sz w:val="24"/>
          <w:szCs w:val="24"/>
        </w:rPr>
        <w:lastRenderedPageBreak/>
        <w:t>Damages; where the defendant has been found liable for Detinue, he cannot deprive the plaintiff of his right to damages for detention of the chattel, simply because he has not been using it</w:t>
      </w:r>
      <w:r w:rsidR="00015FEB" w:rsidRPr="00946964">
        <w:rPr>
          <w:rFonts w:ascii="Times New Roman" w:hAnsi="Times New Roman" w:cs="Times New Roman"/>
          <w:sz w:val="24"/>
          <w:szCs w:val="24"/>
        </w:rPr>
        <w:t>, nor earning anything from it’s use. If the wrongdoer has been making use of the goods for his purpose, then he must pay a reasonable hire for chattel to the plaintiff. The reasonable hire usually includes the wear and tear of goods. An order for specific return of the chattel or in default, an order for the payment of the value and also damages that were  suffered due to loss of use by the defendant up to date of the judgment or re-delivery of the chattel to the plaintiff</w:t>
      </w:r>
      <w:r w:rsidR="00946964" w:rsidRPr="00946964">
        <w:rPr>
          <w:rFonts w:ascii="Times New Roman" w:hAnsi="Times New Roman" w:cs="Times New Roman"/>
          <w:sz w:val="24"/>
          <w:szCs w:val="24"/>
        </w:rPr>
        <w:t xml:space="preserve"> can be made</w:t>
      </w:r>
      <w:r w:rsidR="00015FEB" w:rsidRPr="00946964">
        <w:rPr>
          <w:rFonts w:ascii="Times New Roman" w:hAnsi="Times New Roman" w:cs="Times New Roman"/>
          <w:sz w:val="24"/>
          <w:szCs w:val="24"/>
        </w:rPr>
        <w:t xml:space="preserve">. </w:t>
      </w:r>
      <w:r w:rsidR="00946964" w:rsidRPr="00946964">
        <w:rPr>
          <w:rFonts w:ascii="Times New Roman" w:hAnsi="Times New Roman" w:cs="Times New Roman"/>
          <w:sz w:val="24"/>
          <w:szCs w:val="24"/>
        </w:rPr>
        <w:t>General damages may be awarded as assessed by the cou</w:t>
      </w:r>
      <w:r w:rsidR="00946964">
        <w:rPr>
          <w:rFonts w:ascii="Times New Roman" w:hAnsi="Times New Roman" w:cs="Times New Roman"/>
          <w:sz w:val="24"/>
          <w:szCs w:val="24"/>
        </w:rPr>
        <w:t>rt, they may be awarded especially in the case of loss of chattel.</w:t>
      </w:r>
    </w:p>
    <w:sectPr w:rsidR="00772392" w:rsidRPr="000A115F" w:rsidSect="005E5F4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6DE" w:rsidRDefault="005376DE" w:rsidP="00A2191C">
      <w:pPr>
        <w:spacing w:after="0" w:line="240" w:lineRule="auto"/>
      </w:pPr>
      <w:r>
        <w:separator/>
      </w:r>
    </w:p>
  </w:endnote>
  <w:endnote w:type="continuationSeparator" w:id="1">
    <w:p w:rsidR="005376DE" w:rsidRDefault="005376DE" w:rsidP="00A2191C">
      <w:pPr>
        <w:spacing w:after="0" w:line="240" w:lineRule="auto"/>
      </w:pPr>
      <w:r>
        <w:continuationSeparator/>
      </w:r>
    </w:p>
  </w:endnote>
  <w:endnote w:id="2">
    <w:p w:rsidR="00A2191C" w:rsidRDefault="00A2191C" w:rsidP="00223D87">
      <w:pPr>
        <w:pStyle w:val="EndnoteText"/>
        <w:jc w:val="both"/>
      </w:pPr>
      <w:r w:rsidRPr="00942FBA">
        <w:rPr>
          <w:rStyle w:val="EndnoteReference"/>
        </w:rPr>
        <w:endnoteRef/>
      </w:r>
      <w:r>
        <w:t xml:space="preserve"> Ese </w:t>
      </w:r>
      <w:r w:rsidR="00E21DF0">
        <w:t>M</w:t>
      </w:r>
      <w:r>
        <w:t>ale</w:t>
      </w:r>
      <w:r w:rsidR="002957B6">
        <w:t>m</w:t>
      </w:r>
      <w:r>
        <w:t>i</w:t>
      </w:r>
      <w:r w:rsidR="00942FBA">
        <w:t>,</w:t>
      </w:r>
      <w:r w:rsidR="00942FBA" w:rsidRPr="00942FBA">
        <w:t xml:space="preserve"> Law of Tort</w:t>
      </w:r>
      <w:r w:rsidR="00946964">
        <w:t>; 2</w:t>
      </w:r>
      <w:r w:rsidR="00946964" w:rsidRPr="00946964">
        <w:rPr>
          <w:vertAlign w:val="superscript"/>
        </w:rPr>
        <w:t>nd</w:t>
      </w:r>
      <w:r w:rsidR="00946964">
        <w:t xml:space="preserve"> edition</w:t>
      </w:r>
      <w:r w:rsidR="00942FBA">
        <w:t xml:space="preserve">, </w:t>
      </w:r>
      <w:r w:rsidR="00893364">
        <w:t xml:space="preserve">Pg </w:t>
      </w:r>
      <w:r w:rsidR="00600867">
        <w:t>2</w:t>
      </w:r>
      <w:r w:rsidR="00893364">
        <w:t>09</w:t>
      </w:r>
    </w:p>
  </w:endnote>
  <w:endnote w:id="3">
    <w:p w:rsidR="002957B6" w:rsidRDefault="002957B6" w:rsidP="00223D87">
      <w:pPr>
        <w:pStyle w:val="EndnoteText"/>
        <w:jc w:val="both"/>
      </w:pPr>
      <w:r>
        <w:rPr>
          <w:rStyle w:val="EndnoteReference"/>
        </w:rPr>
        <w:endnoteRef/>
      </w:r>
      <w:r w:rsidR="00893364">
        <w:t xml:space="preserve"> </w:t>
      </w:r>
      <w:r w:rsidR="00942FBA">
        <w:t>Ese Malemi,</w:t>
      </w:r>
      <w:r w:rsidR="00942FBA" w:rsidRPr="00942FBA">
        <w:t xml:space="preserve"> Law of Tort</w:t>
      </w:r>
      <w:r w:rsidR="00946964">
        <w:t>; 2</w:t>
      </w:r>
      <w:r w:rsidR="00946964" w:rsidRPr="00946964">
        <w:rPr>
          <w:vertAlign w:val="superscript"/>
        </w:rPr>
        <w:t>nd</w:t>
      </w:r>
      <w:r w:rsidR="00946964">
        <w:t xml:space="preserve"> edition</w:t>
      </w:r>
      <w:r w:rsidR="00942FBA">
        <w:t xml:space="preserve"> </w:t>
      </w:r>
      <w:r w:rsidR="00893364">
        <w:t>Pg 211</w:t>
      </w:r>
    </w:p>
  </w:endnote>
  <w:endnote w:id="4">
    <w:p w:rsidR="00145DAE" w:rsidRDefault="00145DAE" w:rsidP="00223D87">
      <w:pPr>
        <w:pStyle w:val="EndnoteText"/>
        <w:jc w:val="both"/>
      </w:pPr>
      <w:r>
        <w:rPr>
          <w:rStyle w:val="EndnoteReference"/>
        </w:rPr>
        <w:endnoteRef/>
      </w:r>
      <w:r>
        <w:t xml:space="preserve"> Petre v Heneage</w:t>
      </w:r>
      <w:r w:rsidR="007C3CFD">
        <w:t xml:space="preserve"> (1701) 88 ER 149</w:t>
      </w:r>
      <w:r>
        <w:t>, Penfolds Wine ltd v Elliot</w:t>
      </w:r>
      <w:r w:rsidR="007C3CFD">
        <w:t xml:space="preserve"> (1946) 74 CLR 204 at 214-4</w:t>
      </w:r>
    </w:p>
  </w:endnote>
  <w:endnote w:id="5">
    <w:p w:rsidR="00145DAE" w:rsidRDefault="00145DAE" w:rsidP="00223D87">
      <w:pPr>
        <w:pStyle w:val="EndnoteText"/>
        <w:jc w:val="both"/>
      </w:pPr>
      <w:r>
        <w:rPr>
          <w:rStyle w:val="EndnoteReference"/>
        </w:rPr>
        <w:endnoteRef/>
      </w:r>
      <w:r>
        <w:t xml:space="preserve"> Fouldes v Willoughby</w:t>
      </w:r>
      <w:r w:rsidR="007C3CFD">
        <w:t>(1841) 151 ER 1153</w:t>
      </w:r>
      <w:r>
        <w:t>, Davies V Lagos City Cou</w:t>
      </w:r>
      <w:r w:rsidR="00235D0E">
        <w:t>ncil</w:t>
      </w:r>
      <w:r w:rsidR="007C3CFD">
        <w:t>(1973) 10 CCHCJ 151</w:t>
      </w:r>
    </w:p>
    <w:p w:rsidR="006D5A04" w:rsidRDefault="006D5A04" w:rsidP="00223D87">
      <w:pPr>
        <w:pStyle w:val="EndnoteText"/>
        <w:ind w:left="1440"/>
        <w:jc w:val="both"/>
      </w:pPr>
    </w:p>
  </w:endnote>
  <w:endnote w:id="6">
    <w:p w:rsidR="004A4DAF" w:rsidRDefault="004A4DAF" w:rsidP="00223D87">
      <w:pPr>
        <w:pStyle w:val="EndnoteText"/>
        <w:jc w:val="both"/>
      </w:pPr>
      <w:r>
        <w:rPr>
          <w:rStyle w:val="EndnoteReference"/>
        </w:rPr>
        <w:endnoteRef/>
      </w:r>
      <w:r>
        <w:t xml:space="preserve"> Hollins v Fo</w:t>
      </w:r>
      <w:r w:rsidR="00730270">
        <w:t>u</w:t>
      </w:r>
      <w:r>
        <w:t>ler, Adamson v Jarvis, Youl v Harbottle</w:t>
      </w:r>
    </w:p>
  </w:endnote>
  <w:endnote w:id="7">
    <w:p w:rsidR="00893364" w:rsidRDefault="00893364" w:rsidP="00223D87">
      <w:pPr>
        <w:pStyle w:val="EndnoteText"/>
        <w:jc w:val="both"/>
      </w:pPr>
      <w:r>
        <w:rPr>
          <w:rStyle w:val="EndnoteReference"/>
        </w:rPr>
        <w:endnoteRef/>
      </w:r>
      <w:r w:rsidR="00942FBA">
        <w:t>Ese Malemi,</w:t>
      </w:r>
      <w:r w:rsidR="00942FBA" w:rsidRPr="00942FBA">
        <w:t xml:space="preserve"> Law of Tort</w:t>
      </w:r>
      <w:r w:rsidR="00946964">
        <w:t>; 2</w:t>
      </w:r>
      <w:r w:rsidR="00946964" w:rsidRPr="00946964">
        <w:rPr>
          <w:vertAlign w:val="superscript"/>
        </w:rPr>
        <w:t>nd</w:t>
      </w:r>
      <w:r w:rsidR="00946964">
        <w:t xml:space="preserve"> edition</w:t>
      </w:r>
      <w:r w:rsidR="00942FBA">
        <w:t xml:space="preserve"> </w:t>
      </w:r>
      <w:r>
        <w:t xml:space="preserve"> Pg 210</w:t>
      </w:r>
    </w:p>
  </w:endnote>
  <w:endnote w:id="8">
    <w:p w:rsidR="008A6248" w:rsidRDefault="008A6248" w:rsidP="00223D87">
      <w:pPr>
        <w:pStyle w:val="EndnoteText"/>
        <w:jc w:val="both"/>
      </w:pPr>
      <w:r>
        <w:rPr>
          <w:rStyle w:val="EndnoteReference"/>
        </w:rPr>
        <w:endnoteRef/>
      </w:r>
      <w:r>
        <w:t xml:space="preserve"> Unipe</w:t>
      </w:r>
      <w:r w:rsidR="00124DB4">
        <w:t>trol v Prima Tankers ltd (1986) 5 NWLR pt 42 p. 532 CA.</w:t>
      </w:r>
    </w:p>
  </w:endnote>
  <w:endnote w:id="9">
    <w:p w:rsidR="00971C94" w:rsidRDefault="00971C94" w:rsidP="00223D87">
      <w:pPr>
        <w:pStyle w:val="EndnoteText"/>
        <w:jc w:val="both"/>
      </w:pPr>
      <w:r>
        <w:rPr>
          <w:rStyle w:val="EndnoteReference"/>
        </w:rPr>
        <w:endnoteRef/>
      </w:r>
      <w:r>
        <w:t xml:space="preserve"> (1982) 1 All ER 834 CA</w:t>
      </w:r>
    </w:p>
  </w:endnote>
  <w:endnote w:id="10">
    <w:p w:rsidR="00031E94" w:rsidRDefault="00031E94" w:rsidP="00223D87">
      <w:pPr>
        <w:pStyle w:val="EndnoteText"/>
        <w:jc w:val="both"/>
      </w:pPr>
      <w:r>
        <w:rPr>
          <w:rStyle w:val="EndnoteReference"/>
        </w:rPr>
        <w:endnoteRef/>
      </w:r>
      <w:r>
        <w:t xml:space="preserve"> Elwes v Briggs Gas Co (1886)</w:t>
      </w:r>
      <w:r w:rsidR="00124DB4">
        <w:t xml:space="preserve"> 33 Ch D 562</w:t>
      </w:r>
    </w:p>
  </w:endnote>
  <w:endnote w:id="11">
    <w:p w:rsidR="000C03F3" w:rsidRDefault="000C03F3" w:rsidP="00223D87">
      <w:pPr>
        <w:pStyle w:val="EndnoteText"/>
        <w:jc w:val="both"/>
      </w:pPr>
      <w:r>
        <w:rPr>
          <w:rStyle w:val="EndnoteReference"/>
        </w:rPr>
        <w:endnoteRef/>
      </w:r>
      <w:r w:rsidR="00942FBA">
        <w:t xml:space="preserve">Ese </w:t>
      </w:r>
      <w:r w:rsidR="007C3CFD">
        <w:t>Malemi,</w:t>
      </w:r>
      <w:r w:rsidR="007C3CFD" w:rsidRPr="00942FBA">
        <w:t xml:space="preserve"> Law</w:t>
      </w:r>
      <w:r w:rsidR="00942FBA" w:rsidRPr="00942FBA">
        <w:t xml:space="preserve"> of Tort</w:t>
      </w:r>
      <w:r w:rsidR="00946964">
        <w:t>; 2</w:t>
      </w:r>
      <w:r w:rsidR="00946964" w:rsidRPr="00946964">
        <w:rPr>
          <w:vertAlign w:val="superscript"/>
        </w:rPr>
        <w:t>nd</w:t>
      </w:r>
      <w:r w:rsidR="00946964">
        <w:t xml:space="preserve"> edition</w:t>
      </w:r>
      <w:r w:rsidR="007C3CFD">
        <w:t>, Pg 224-</w:t>
      </w:r>
      <w:r>
        <w:t>5.</w:t>
      </w:r>
    </w:p>
    <w:p w:rsidR="0064727E" w:rsidRDefault="0064727E" w:rsidP="00223D87">
      <w:pPr>
        <w:pStyle w:val="EndnoteText"/>
        <w:jc w:val="both"/>
      </w:pPr>
    </w:p>
  </w:endnote>
  <w:endnote w:id="12">
    <w:p w:rsidR="006D22D5" w:rsidRDefault="006D22D5" w:rsidP="00223D87">
      <w:pPr>
        <w:pStyle w:val="EndnoteText"/>
        <w:jc w:val="both"/>
      </w:pPr>
      <w:r>
        <w:rPr>
          <w:rStyle w:val="EndnoteReference"/>
        </w:rPr>
        <w:endnoteRef/>
      </w:r>
      <w:r>
        <w:t xml:space="preserve"> National Coal Bo</w:t>
      </w:r>
      <w:r w:rsidR="00223D87">
        <w:t>ard v Evans &amp; Co</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6DE" w:rsidRDefault="005376DE" w:rsidP="00A2191C">
      <w:pPr>
        <w:spacing w:after="0" w:line="240" w:lineRule="auto"/>
      </w:pPr>
      <w:r>
        <w:separator/>
      </w:r>
    </w:p>
  </w:footnote>
  <w:footnote w:type="continuationSeparator" w:id="1">
    <w:p w:rsidR="005376DE" w:rsidRDefault="005376DE" w:rsidP="00A219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11820"/>
    <w:multiLevelType w:val="hybridMultilevel"/>
    <w:tmpl w:val="4E0E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A6A1A"/>
    <w:multiLevelType w:val="hybridMultilevel"/>
    <w:tmpl w:val="795E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F01773"/>
    <w:multiLevelType w:val="hybridMultilevel"/>
    <w:tmpl w:val="7C9AC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39099A"/>
    <w:multiLevelType w:val="hybridMultilevel"/>
    <w:tmpl w:val="33D2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023BBE"/>
    <w:multiLevelType w:val="hybridMultilevel"/>
    <w:tmpl w:val="2C74E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2E768F"/>
    <w:multiLevelType w:val="hybridMultilevel"/>
    <w:tmpl w:val="15B29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5B4A94"/>
    <w:multiLevelType w:val="hybridMultilevel"/>
    <w:tmpl w:val="C1BE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2F4D5C"/>
    <w:multiLevelType w:val="hybridMultilevel"/>
    <w:tmpl w:val="E9A8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F80326"/>
    <w:multiLevelType w:val="hybridMultilevel"/>
    <w:tmpl w:val="F5D0A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8B4056"/>
    <w:multiLevelType w:val="hybridMultilevel"/>
    <w:tmpl w:val="E588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C13216"/>
    <w:multiLevelType w:val="hybridMultilevel"/>
    <w:tmpl w:val="5BA2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790669"/>
    <w:multiLevelType w:val="hybridMultilevel"/>
    <w:tmpl w:val="3B661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CD01A3"/>
    <w:multiLevelType w:val="hybridMultilevel"/>
    <w:tmpl w:val="D65A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1"/>
  </w:num>
  <w:num w:numId="4">
    <w:abstractNumId w:val="4"/>
  </w:num>
  <w:num w:numId="5">
    <w:abstractNumId w:val="8"/>
  </w:num>
  <w:num w:numId="6">
    <w:abstractNumId w:val="2"/>
  </w:num>
  <w:num w:numId="7">
    <w:abstractNumId w:val="9"/>
  </w:num>
  <w:num w:numId="8">
    <w:abstractNumId w:val="10"/>
  </w:num>
  <w:num w:numId="9">
    <w:abstractNumId w:val="6"/>
  </w:num>
  <w:num w:numId="10">
    <w:abstractNumId w:val="1"/>
  </w:num>
  <w:num w:numId="11">
    <w:abstractNumId w:val="5"/>
  </w:num>
  <w:num w:numId="12">
    <w:abstractNumId w:val="1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20"/>
  <w:characterSpacingControl w:val="doNotCompress"/>
  <w:footnotePr>
    <w:footnote w:id="0"/>
    <w:footnote w:id="1"/>
  </w:footnotePr>
  <w:endnotePr>
    <w:endnote w:id="0"/>
    <w:endnote w:id="1"/>
  </w:endnotePr>
  <w:compat/>
  <w:rsids>
    <w:rsidRoot w:val="00A2191C"/>
    <w:rsid w:val="00015FEB"/>
    <w:rsid w:val="00031E94"/>
    <w:rsid w:val="000A115F"/>
    <w:rsid w:val="000C03F3"/>
    <w:rsid w:val="000C5A95"/>
    <w:rsid w:val="00124DB4"/>
    <w:rsid w:val="00145DAE"/>
    <w:rsid w:val="001F02C6"/>
    <w:rsid w:val="00223D87"/>
    <w:rsid w:val="0023116D"/>
    <w:rsid w:val="00235D0E"/>
    <w:rsid w:val="00254AD2"/>
    <w:rsid w:val="002957B6"/>
    <w:rsid w:val="002D6D34"/>
    <w:rsid w:val="00327774"/>
    <w:rsid w:val="003812EF"/>
    <w:rsid w:val="003D4F9C"/>
    <w:rsid w:val="004538A8"/>
    <w:rsid w:val="004A4DAF"/>
    <w:rsid w:val="004B22A6"/>
    <w:rsid w:val="004D1F2C"/>
    <w:rsid w:val="00504C1A"/>
    <w:rsid w:val="005376DE"/>
    <w:rsid w:val="00563D4D"/>
    <w:rsid w:val="005E5F46"/>
    <w:rsid w:val="00600867"/>
    <w:rsid w:val="0064727E"/>
    <w:rsid w:val="0066595D"/>
    <w:rsid w:val="00673E4E"/>
    <w:rsid w:val="00683518"/>
    <w:rsid w:val="006B55A0"/>
    <w:rsid w:val="006C4555"/>
    <w:rsid w:val="006D22D5"/>
    <w:rsid w:val="006D5A04"/>
    <w:rsid w:val="006F6C84"/>
    <w:rsid w:val="00730270"/>
    <w:rsid w:val="00772392"/>
    <w:rsid w:val="007962E3"/>
    <w:rsid w:val="007B0207"/>
    <w:rsid w:val="007C3CFD"/>
    <w:rsid w:val="00893364"/>
    <w:rsid w:val="008A6248"/>
    <w:rsid w:val="008A75BA"/>
    <w:rsid w:val="008C4AC8"/>
    <w:rsid w:val="00914EB5"/>
    <w:rsid w:val="00942FBA"/>
    <w:rsid w:val="00945F1F"/>
    <w:rsid w:val="00946964"/>
    <w:rsid w:val="00971C94"/>
    <w:rsid w:val="009A0B00"/>
    <w:rsid w:val="00A2191C"/>
    <w:rsid w:val="00AB07D5"/>
    <w:rsid w:val="00AD3D9E"/>
    <w:rsid w:val="00AD6961"/>
    <w:rsid w:val="00AF5579"/>
    <w:rsid w:val="00B14A6F"/>
    <w:rsid w:val="00B26B28"/>
    <w:rsid w:val="00B31FD2"/>
    <w:rsid w:val="00B62BBC"/>
    <w:rsid w:val="00B75AD7"/>
    <w:rsid w:val="00B92BE8"/>
    <w:rsid w:val="00BA4814"/>
    <w:rsid w:val="00BD40A5"/>
    <w:rsid w:val="00C273A5"/>
    <w:rsid w:val="00C44AFF"/>
    <w:rsid w:val="00C77821"/>
    <w:rsid w:val="00CA1AEE"/>
    <w:rsid w:val="00D2630E"/>
    <w:rsid w:val="00D67313"/>
    <w:rsid w:val="00E21DF0"/>
    <w:rsid w:val="00EB1C2F"/>
    <w:rsid w:val="00EC2254"/>
    <w:rsid w:val="00F70C91"/>
    <w:rsid w:val="00F72486"/>
    <w:rsid w:val="00F841CC"/>
    <w:rsid w:val="00FF76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9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219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191C"/>
    <w:rPr>
      <w:sz w:val="20"/>
      <w:szCs w:val="20"/>
    </w:rPr>
  </w:style>
  <w:style w:type="character" w:styleId="EndnoteReference">
    <w:name w:val="endnote reference"/>
    <w:basedOn w:val="DefaultParagraphFont"/>
    <w:uiPriority w:val="99"/>
    <w:semiHidden/>
    <w:unhideWhenUsed/>
    <w:rsid w:val="00A2191C"/>
    <w:rPr>
      <w:vertAlign w:val="superscript"/>
    </w:rPr>
  </w:style>
  <w:style w:type="paragraph" w:styleId="ListParagraph">
    <w:name w:val="List Paragraph"/>
    <w:basedOn w:val="Normal"/>
    <w:uiPriority w:val="34"/>
    <w:qFormat/>
    <w:rsid w:val="00B92BE8"/>
    <w:pPr>
      <w:ind w:left="720"/>
      <w:contextualSpacing/>
    </w:pPr>
  </w:style>
  <w:style w:type="paragraph" w:styleId="FootnoteText">
    <w:name w:val="footnote text"/>
    <w:basedOn w:val="Normal"/>
    <w:link w:val="FootnoteTextChar"/>
    <w:uiPriority w:val="99"/>
    <w:semiHidden/>
    <w:unhideWhenUsed/>
    <w:rsid w:val="00D673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7313"/>
    <w:rPr>
      <w:sz w:val="20"/>
      <w:szCs w:val="20"/>
    </w:rPr>
  </w:style>
  <w:style w:type="character" w:styleId="FootnoteReference">
    <w:name w:val="footnote reference"/>
    <w:basedOn w:val="DefaultParagraphFont"/>
    <w:uiPriority w:val="99"/>
    <w:semiHidden/>
    <w:unhideWhenUsed/>
    <w:rsid w:val="00D67313"/>
    <w:rPr>
      <w:vertAlign w:val="superscript"/>
    </w:rPr>
  </w:style>
  <w:style w:type="paragraph" w:styleId="Header">
    <w:name w:val="header"/>
    <w:basedOn w:val="Normal"/>
    <w:link w:val="HeaderChar"/>
    <w:uiPriority w:val="99"/>
    <w:semiHidden/>
    <w:unhideWhenUsed/>
    <w:rsid w:val="00EB1C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1C2F"/>
  </w:style>
  <w:style w:type="paragraph" w:styleId="Footer">
    <w:name w:val="footer"/>
    <w:basedOn w:val="Normal"/>
    <w:link w:val="FooterChar"/>
    <w:uiPriority w:val="99"/>
    <w:semiHidden/>
    <w:unhideWhenUsed/>
    <w:rsid w:val="00EB1C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1C2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57C2D-AE00-4FB1-9F05-FDE5757BC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6</Pages>
  <Words>1575</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dcterms:created xsi:type="dcterms:W3CDTF">2021-01-20T15:50:00Z</dcterms:created>
  <dcterms:modified xsi:type="dcterms:W3CDTF">2021-01-27T07:23:00Z</dcterms:modified>
</cp:coreProperties>
</file>