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FF" w:rsidRPr="00046693" w:rsidRDefault="00890047" w:rsidP="00890047">
      <w:pPr>
        <w:spacing w:line="360" w:lineRule="auto"/>
        <w:jc w:val="both"/>
        <w:rPr>
          <w:rFonts w:asciiTheme="majorHAnsi" w:hAnsiTheme="majorHAnsi" w:cs="Times New Roman"/>
          <w:b/>
          <w:sz w:val="28"/>
          <w:szCs w:val="28"/>
          <w:lang w:val="en-GB"/>
        </w:rPr>
      </w:pPr>
      <w:bookmarkStart w:id="0" w:name="_GoBack"/>
      <w:bookmarkEnd w:id="0"/>
      <w:r w:rsidRPr="00046693">
        <w:rPr>
          <w:rFonts w:asciiTheme="majorHAnsi" w:hAnsiTheme="majorHAnsi" w:cs="Times New Roman"/>
          <w:b/>
          <w:sz w:val="28"/>
          <w:szCs w:val="28"/>
          <w:u w:val="single"/>
          <w:lang w:val="en-GB"/>
        </w:rPr>
        <w:t>NAME:</w:t>
      </w:r>
      <w:r w:rsidRPr="00046693">
        <w:rPr>
          <w:rFonts w:asciiTheme="majorHAnsi" w:hAnsiTheme="majorHAnsi" w:cs="Times New Roman"/>
          <w:b/>
          <w:sz w:val="28"/>
          <w:szCs w:val="28"/>
          <w:lang w:val="en-GB"/>
        </w:rPr>
        <w:t xml:space="preserve"> ADENIJI OLUWATOSIN OMOWUMI</w:t>
      </w:r>
    </w:p>
    <w:p w:rsidR="00890047" w:rsidRPr="00046693" w:rsidRDefault="00890047" w:rsidP="00890047">
      <w:pPr>
        <w:spacing w:line="360" w:lineRule="auto"/>
        <w:jc w:val="both"/>
        <w:rPr>
          <w:rFonts w:asciiTheme="majorHAnsi" w:hAnsiTheme="majorHAnsi" w:cs="Times New Roman"/>
          <w:b/>
          <w:sz w:val="28"/>
          <w:szCs w:val="28"/>
          <w:lang w:val="en-GB"/>
        </w:rPr>
      </w:pPr>
      <w:r w:rsidRPr="00046693">
        <w:rPr>
          <w:rFonts w:asciiTheme="majorHAnsi" w:hAnsiTheme="majorHAnsi" w:cs="Times New Roman"/>
          <w:b/>
          <w:sz w:val="28"/>
          <w:szCs w:val="28"/>
          <w:u w:val="single"/>
          <w:lang w:val="en-GB"/>
        </w:rPr>
        <w:t>MATRIC NUMBER:</w:t>
      </w:r>
      <w:r w:rsidRPr="00046693">
        <w:rPr>
          <w:rFonts w:asciiTheme="majorHAnsi" w:hAnsiTheme="majorHAnsi" w:cs="Times New Roman"/>
          <w:b/>
          <w:sz w:val="28"/>
          <w:szCs w:val="28"/>
          <w:lang w:val="en-GB"/>
        </w:rPr>
        <w:t xml:space="preserve"> 18/LAW01/012</w:t>
      </w:r>
    </w:p>
    <w:p w:rsidR="00890047" w:rsidRPr="00046693" w:rsidRDefault="00890047" w:rsidP="00890047">
      <w:pPr>
        <w:spacing w:line="360" w:lineRule="auto"/>
        <w:jc w:val="both"/>
        <w:rPr>
          <w:rFonts w:asciiTheme="majorHAnsi" w:hAnsiTheme="majorHAnsi" w:cs="Times New Roman"/>
          <w:b/>
          <w:sz w:val="28"/>
          <w:szCs w:val="28"/>
          <w:lang w:val="en-GB"/>
        </w:rPr>
      </w:pPr>
      <w:r w:rsidRPr="00046693">
        <w:rPr>
          <w:rFonts w:asciiTheme="majorHAnsi" w:hAnsiTheme="majorHAnsi" w:cs="Times New Roman"/>
          <w:b/>
          <w:sz w:val="28"/>
          <w:szCs w:val="28"/>
          <w:u w:val="single"/>
          <w:lang w:val="en-GB"/>
        </w:rPr>
        <w:t>COURSE CODE:</w:t>
      </w:r>
      <w:r w:rsidRPr="00046693">
        <w:rPr>
          <w:rFonts w:asciiTheme="majorHAnsi" w:hAnsiTheme="majorHAnsi" w:cs="Times New Roman"/>
          <w:b/>
          <w:sz w:val="28"/>
          <w:szCs w:val="28"/>
          <w:lang w:val="en-GB"/>
        </w:rPr>
        <w:t xml:space="preserve"> </w:t>
      </w:r>
      <w:r w:rsidR="00046693" w:rsidRPr="00046693">
        <w:rPr>
          <w:rFonts w:asciiTheme="majorHAnsi" w:hAnsiTheme="majorHAnsi" w:cs="Times New Roman"/>
          <w:b/>
          <w:sz w:val="28"/>
          <w:szCs w:val="28"/>
          <w:lang w:val="en-GB"/>
        </w:rPr>
        <w:t>LPB 301</w:t>
      </w:r>
    </w:p>
    <w:p w:rsidR="00890047" w:rsidRPr="00046693" w:rsidRDefault="00890047" w:rsidP="00890047">
      <w:pPr>
        <w:spacing w:line="360" w:lineRule="auto"/>
        <w:jc w:val="both"/>
        <w:rPr>
          <w:rFonts w:asciiTheme="majorHAnsi" w:hAnsiTheme="majorHAnsi" w:cs="Times New Roman"/>
          <w:b/>
          <w:sz w:val="28"/>
          <w:szCs w:val="28"/>
          <w:lang w:val="en-GB"/>
        </w:rPr>
      </w:pPr>
      <w:r w:rsidRPr="00046693">
        <w:rPr>
          <w:rFonts w:asciiTheme="majorHAnsi" w:hAnsiTheme="majorHAnsi" w:cs="Times New Roman"/>
          <w:b/>
          <w:sz w:val="28"/>
          <w:szCs w:val="28"/>
          <w:u w:val="single"/>
          <w:lang w:val="en-GB"/>
        </w:rPr>
        <w:t xml:space="preserve">COURSE TITLE: </w:t>
      </w:r>
      <w:r w:rsidRPr="00046693">
        <w:rPr>
          <w:rFonts w:asciiTheme="majorHAnsi" w:hAnsiTheme="majorHAnsi" w:cs="Times New Roman"/>
          <w:b/>
          <w:sz w:val="28"/>
          <w:szCs w:val="28"/>
          <w:lang w:val="en-GB"/>
        </w:rPr>
        <w:t>LAW OF TORT I</w:t>
      </w:r>
    </w:p>
    <w:p w:rsidR="00890047" w:rsidRDefault="00890047" w:rsidP="00890047">
      <w:pPr>
        <w:spacing w:line="360" w:lineRule="auto"/>
        <w:jc w:val="both"/>
        <w:rPr>
          <w:rFonts w:ascii="Times New Roman" w:hAnsi="Times New Roman" w:cs="Times New Roman"/>
          <w:sz w:val="24"/>
          <w:szCs w:val="24"/>
          <w:lang w:val="en-GB"/>
        </w:rPr>
      </w:pPr>
      <w:r w:rsidRPr="00046693">
        <w:rPr>
          <w:rFonts w:asciiTheme="majorHAnsi" w:hAnsiTheme="majorHAnsi" w:cs="Times New Roman"/>
          <w:b/>
          <w:sz w:val="28"/>
          <w:szCs w:val="28"/>
          <w:u w:val="single"/>
          <w:lang w:val="en-GB"/>
        </w:rPr>
        <w:t>ASSIGNMENT:</w:t>
      </w:r>
      <w:r w:rsidR="00046693" w:rsidRPr="00046693">
        <w:rPr>
          <w:rFonts w:asciiTheme="majorHAnsi" w:hAnsiTheme="majorHAnsi" w:cs="Times New Roman"/>
          <w:sz w:val="24"/>
          <w:szCs w:val="24"/>
          <w:lang w:val="en-GB"/>
        </w:rPr>
        <w:t xml:space="preserve"> </w:t>
      </w:r>
      <w:r w:rsidR="00046693">
        <w:rPr>
          <w:rFonts w:ascii="Times New Roman" w:hAnsi="Times New Roman" w:cs="Times New Roman"/>
          <w:sz w:val="24"/>
          <w:szCs w:val="24"/>
          <w:lang w:val="en-GB"/>
        </w:rPr>
        <w:t xml:space="preserve">The tort of trespass to Chattel is made of: Trespass to Chattels, Conversion and </w:t>
      </w:r>
      <w:proofErr w:type="spellStart"/>
      <w:r w:rsidR="00046693">
        <w:rPr>
          <w:rFonts w:ascii="Times New Roman" w:hAnsi="Times New Roman" w:cs="Times New Roman"/>
          <w:sz w:val="24"/>
          <w:szCs w:val="24"/>
          <w:lang w:val="en-GB"/>
        </w:rPr>
        <w:t>Detinue</w:t>
      </w:r>
      <w:proofErr w:type="spellEnd"/>
      <w:r w:rsidR="00046693">
        <w:rPr>
          <w:rFonts w:ascii="Times New Roman" w:hAnsi="Times New Roman" w:cs="Times New Roman"/>
          <w:sz w:val="24"/>
          <w:szCs w:val="24"/>
          <w:lang w:val="en-GB"/>
        </w:rPr>
        <w:t>. Discuss the above and support with case law. Students may consider the following:</w:t>
      </w:r>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Define and explain each tort </w:t>
      </w:r>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State the elements of trespass to chattel, conversion and </w:t>
      </w:r>
      <w:proofErr w:type="spellStart"/>
      <w:r>
        <w:rPr>
          <w:rFonts w:ascii="Times New Roman" w:hAnsi="Times New Roman" w:cs="Times New Roman"/>
          <w:sz w:val="24"/>
          <w:szCs w:val="24"/>
          <w:lang w:val="en-GB"/>
        </w:rPr>
        <w:t>detinue</w:t>
      </w:r>
      <w:proofErr w:type="spellEnd"/>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Explain the concepts of innocent delivery or receipts</w:t>
      </w:r>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Explain the lost property rule</w:t>
      </w:r>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Give examples of conversion</w:t>
      </w:r>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Give examples of persons qualified to sue for Trespass to Chattel</w:t>
      </w:r>
    </w:p>
    <w:p w:rsid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Discuss the remedies and defences to each tort and</w:t>
      </w:r>
    </w:p>
    <w:p w:rsidR="00046693" w:rsidRPr="00046693" w:rsidRDefault="00046693" w:rsidP="00046693">
      <w:pPr>
        <w:pStyle w:val="ListParagraph"/>
        <w:numPr>
          <w:ilvl w:val="0"/>
          <w:numId w:val="2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Differences between conversion and </w:t>
      </w:r>
      <w:proofErr w:type="spellStart"/>
      <w:r>
        <w:rPr>
          <w:rFonts w:ascii="Times New Roman" w:hAnsi="Times New Roman" w:cs="Times New Roman"/>
          <w:sz w:val="24"/>
          <w:szCs w:val="24"/>
          <w:lang w:val="en-GB"/>
        </w:rPr>
        <w:t>detinue</w:t>
      </w:r>
      <w:proofErr w:type="spellEnd"/>
      <w:r>
        <w:rPr>
          <w:rFonts w:ascii="Times New Roman" w:hAnsi="Times New Roman" w:cs="Times New Roman"/>
          <w:sz w:val="24"/>
          <w:szCs w:val="24"/>
          <w:lang w:val="en-GB"/>
        </w:rPr>
        <w:t>.</w:t>
      </w: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046693" w:rsidRDefault="00046693" w:rsidP="00890047">
      <w:pPr>
        <w:spacing w:line="360" w:lineRule="auto"/>
        <w:jc w:val="both"/>
        <w:rPr>
          <w:rFonts w:ascii="Times New Roman" w:hAnsi="Times New Roman" w:cs="Times New Roman"/>
          <w:sz w:val="24"/>
          <w:szCs w:val="24"/>
          <w:lang w:val="en-GB"/>
        </w:rPr>
      </w:pPr>
    </w:p>
    <w:p w:rsidR="00890047" w:rsidRPr="00BF71AF" w:rsidRDefault="00890047" w:rsidP="00BF71AF">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lastRenderedPageBreak/>
        <w:t>Definition of tre</w:t>
      </w:r>
      <w:r w:rsidR="008012BF" w:rsidRPr="00BF71AF">
        <w:rPr>
          <w:rFonts w:ascii="Times New Roman" w:hAnsi="Times New Roman" w:cs="Times New Roman"/>
          <w:b/>
          <w:sz w:val="24"/>
          <w:szCs w:val="24"/>
          <w:u w:val="single"/>
          <w:lang w:val="en-GB"/>
        </w:rPr>
        <w:t>s</w:t>
      </w:r>
      <w:r w:rsidRPr="00BF71AF">
        <w:rPr>
          <w:rFonts w:ascii="Times New Roman" w:hAnsi="Times New Roman" w:cs="Times New Roman"/>
          <w:b/>
          <w:sz w:val="24"/>
          <w:szCs w:val="24"/>
          <w:u w:val="single"/>
          <w:lang w:val="en-GB"/>
        </w:rPr>
        <w:t>pass to chattel</w:t>
      </w:r>
    </w:p>
    <w:p w:rsidR="005E3CFB" w:rsidRDefault="00890047" w:rsidP="0089004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423BB">
        <w:rPr>
          <w:rFonts w:ascii="Times New Roman" w:hAnsi="Times New Roman" w:cs="Times New Roman"/>
          <w:sz w:val="24"/>
          <w:szCs w:val="24"/>
          <w:lang w:val="en-GB"/>
        </w:rPr>
        <w:t xml:space="preserve">Generally, a trespass refers to a wrongful use of another person’s property without his or her permission. </w:t>
      </w:r>
      <w:r>
        <w:rPr>
          <w:rFonts w:ascii="Times New Roman" w:hAnsi="Times New Roman" w:cs="Times New Roman"/>
          <w:sz w:val="24"/>
          <w:szCs w:val="24"/>
          <w:lang w:val="en-GB"/>
        </w:rPr>
        <w:t>The word “chattel” means any</w:t>
      </w:r>
      <w:r w:rsidR="00F423BB">
        <w:rPr>
          <w:rFonts w:ascii="Times New Roman" w:hAnsi="Times New Roman" w:cs="Times New Roman"/>
          <w:sz w:val="24"/>
          <w:szCs w:val="24"/>
          <w:lang w:val="en-GB"/>
        </w:rPr>
        <w:t xml:space="preserve"> article, goods, or personal property, other than an immovable property.</w:t>
      </w:r>
      <w:r>
        <w:rPr>
          <w:rFonts w:ascii="Times New Roman" w:hAnsi="Times New Roman" w:cs="Times New Roman"/>
          <w:sz w:val="24"/>
          <w:szCs w:val="24"/>
          <w:lang w:val="en-GB"/>
        </w:rPr>
        <w:t xml:space="preserve"> </w:t>
      </w:r>
      <w:r w:rsidR="00F423BB">
        <w:rPr>
          <w:rFonts w:ascii="Times New Roman" w:hAnsi="Times New Roman" w:cs="Times New Roman"/>
          <w:sz w:val="24"/>
          <w:szCs w:val="24"/>
          <w:lang w:val="en-GB"/>
        </w:rPr>
        <w:t>A</w:t>
      </w:r>
      <w:r>
        <w:rPr>
          <w:rFonts w:ascii="Times New Roman" w:hAnsi="Times New Roman" w:cs="Times New Roman"/>
          <w:sz w:val="24"/>
          <w:szCs w:val="24"/>
          <w:lang w:val="en-GB"/>
        </w:rPr>
        <w:t>n item of tangible movable or immovable property except real estate and things (such as buildings) connected with real property.</w:t>
      </w:r>
      <w:r w:rsidR="00F423BB">
        <w:rPr>
          <w:rFonts w:ascii="Times New Roman" w:hAnsi="Times New Roman" w:cs="Times New Roman"/>
          <w:sz w:val="24"/>
          <w:szCs w:val="24"/>
          <w:lang w:val="en-GB"/>
        </w:rPr>
        <w:t xml:space="preserve"> Trespass to chattels refers to the use of property </w:t>
      </w:r>
      <w:r w:rsidR="008012BF">
        <w:rPr>
          <w:rFonts w:ascii="Times New Roman" w:hAnsi="Times New Roman" w:cs="Times New Roman"/>
          <w:sz w:val="24"/>
          <w:szCs w:val="24"/>
          <w:lang w:val="en-GB"/>
        </w:rPr>
        <w:t>without</w:t>
      </w:r>
      <w:r w:rsidR="00F423BB">
        <w:rPr>
          <w:rFonts w:ascii="Times New Roman" w:hAnsi="Times New Roman" w:cs="Times New Roman"/>
          <w:sz w:val="24"/>
          <w:szCs w:val="24"/>
          <w:lang w:val="en-GB"/>
        </w:rPr>
        <w:t xml:space="preserve"> permission. Trespass to chattels refers to a wrongful use of another person’s property without his or her permission. Trespass to chattel is any direct and unlawful interference with a chattel in the possession of another person. Trespass to chattels is any direct interference with a personal property in the possession of another person without lawful justification.</w:t>
      </w:r>
      <w:r w:rsidR="005E3CFB">
        <w:rPr>
          <w:rFonts w:ascii="Times New Roman" w:hAnsi="Times New Roman" w:cs="Times New Roman"/>
          <w:sz w:val="24"/>
          <w:szCs w:val="24"/>
          <w:lang w:val="en-GB"/>
        </w:rPr>
        <w:t xml:space="preserve"> The purpose of this trespass is designed to protect the following interests in personal property or personality:</w:t>
      </w:r>
    </w:p>
    <w:p w:rsidR="005E3CFB" w:rsidRDefault="005E3CFB" w:rsidP="005E3CFB">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Right of retaining one’s chattel</w:t>
      </w:r>
    </w:p>
    <w:p w:rsidR="005E3CFB" w:rsidRDefault="005E3CFB" w:rsidP="005E3CFB">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Protection of the physical condition of the chattel</w:t>
      </w:r>
    </w:p>
    <w:p w:rsidR="005E3CFB" w:rsidRDefault="005E3CFB" w:rsidP="005E3CFB">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Protection of the charge against unlawful interference or meddling</w:t>
      </w:r>
      <w:r w:rsidR="00CE0C34">
        <w:rPr>
          <w:rFonts w:ascii="Times New Roman" w:hAnsi="Times New Roman" w:cs="Times New Roman"/>
          <w:sz w:val="24"/>
          <w:szCs w:val="24"/>
          <w:lang w:val="en-GB"/>
        </w:rPr>
        <w:t>.</w:t>
      </w:r>
    </w:p>
    <w:p w:rsidR="00CE0C34" w:rsidRPr="00BF71AF" w:rsidRDefault="00CE0C34" w:rsidP="00BF71AF">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Examples of trespass t</w:t>
      </w:r>
      <w:r w:rsidR="001C0B3D" w:rsidRPr="00BF71AF">
        <w:rPr>
          <w:rFonts w:ascii="Times New Roman" w:hAnsi="Times New Roman" w:cs="Times New Roman"/>
          <w:b/>
          <w:sz w:val="24"/>
          <w:szCs w:val="24"/>
          <w:u w:val="single"/>
          <w:lang w:val="en-GB"/>
        </w:rPr>
        <w:t>o chattel</w:t>
      </w:r>
    </w:p>
    <w:p w:rsidR="001C0B3D" w:rsidRDefault="001C0B3D" w:rsidP="00CE0C3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Trespass to chattel may be committed in many different ways;</w:t>
      </w:r>
    </w:p>
    <w:p w:rsidR="001C0B3D" w:rsidRDefault="001C0B3D" w:rsidP="001C0B3D">
      <w:pPr>
        <w:pStyle w:val="ListParagraph"/>
        <w:numPr>
          <w:ilvl w:val="0"/>
          <w:numId w:val="1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Driving another person’s car without permission</w:t>
      </w:r>
    </w:p>
    <w:p w:rsidR="001C0B3D" w:rsidRDefault="001C0B3D" w:rsidP="001C0B3D">
      <w:pPr>
        <w:pStyle w:val="ListParagraph"/>
        <w:numPr>
          <w:ilvl w:val="0"/>
          <w:numId w:val="1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Killing another person’s animal</w:t>
      </w:r>
    </w:p>
    <w:p w:rsidR="001C0B3D" w:rsidRDefault="001C0B3D" w:rsidP="001C0B3D">
      <w:pPr>
        <w:pStyle w:val="ListParagraph"/>
        <w:numPr>
          <w:ilvl w:val="0"/>
          <w:numId w:val="1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Throwing another person’s property away</w:t>
      </w:r>
    </w:p>
    <w:p w:rsidR="001C0B3D" w:rsidRDefault="001C0B3D" w:rsidP="001C0B3D">
      <w:pPr>
        <w:pStyle w:val="ListParagraph"/>
        <w:numPr>
          <w:ilvl w:val="0"/>
          <w:numId w:val="1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Damaging or causing any harm to a chattel</w:t>
      </w:r>
    </w:p>
    <w:p w:rsidR="001C0B3D" w:rsidRDefault="001C0B3D" w:rsidP="001C0B3D">
      <w:pPr>
        <w:pStyle w:val="ListParagraph"/>
        <w:numPr>
          <w:ilvl w:val="0"/>
          <w:numId w:val="1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Scratching or making marks on the body of the chattel</w:t>
      </w:r>
    </w:p>
    <w:p w:rsidR="00BB2FF1" w:rsidRPr="00BB2FF1" w:rsidRDefault="00BB2FF1" w:rsidP="00BB2FF1">
      <w:pPr>
        <w:spacing w:line="360" w:lineRule="auto"/>
        <w:jc w:val="both"/>
        <w:rPr>
          <w:rFonts w:ascii="Times New Roman" w:hAnsi="Times New Roman" w:cs="Times New Roman"/>
          <w:sz w:val="24"/>
          <w:szCs w:val="24"/>
          <w:lang w:val="en-GB"/>
        </w:rPr>
      </w:pPr>
      <w:r w:rsidRPr="00BB2FF1">
        <w:rPr>
          <w:rFonts w:ascii="Times New Roman" w:hAnsi="Times New Roman" w:cs="Times New Roman"/>
          <w:sz w:val="24"/>
          <w:szCs w:val="24"/>
          <w:lang w:val="en-GB"/>
        </w:rPr>
        <w:t xml:space="preserve">In </w:t>
      </w:r>
      <w:r w:rsidRPr="00BB2FF1">
        <w:rPr>
          <w:rFonts w:ascii="Times New Roman" w:hAnsi="Times New Roman" w:cs="Times New Roman"/>
          <w:b/>
          <w:i/>
          <w:sz w:val="24"/>
          <w:szCs w:val="24"/>
          <w:lang w:val="en-GB"/>
        </w:rPr>
        <w:t>Kirk V. Gregory</w:t>
      </w:r>
      <w:r>
        <w:rPr>
          <w:rStyle w:val="FootnoteReference"/>
          <w:rFonts w:ascii="Times New Roman" w:hAnsi="Times New Roman" w:cs="Times New Roman"/>
          <w:b/>
          <w:i/>
          <w:sz w:val="24"/>
          <w:szCs w:val="24"/>
          <w:lang w:val="en-GB"/>
        </w:rPr>
        <w:footnoteReference w:id="1"/>
      </w:r>
      <w:r w:rsidRPr="00BB2FF1">
        <w:rPr>
          <w:rFonts w:ascii="Times New Roman" w:hAnsi="Times New Roman" w:cs="Times New Roman"/>
          <w:sz w:val="24"/>
          <w:szCs w:val="24"/>
          <w:lang w:val="en-GB"/>
        </w:rPr>
        <w:t>, the movement of a deceased person’s ring</w:t>
      </w:r>
      <w:r>
        <w:rPr>
          <w:rFonts w:ascii="Times New Roman" w:hAnsi="Times New Roman" w:cs="Times New Roman"/>
          <w:sz w:val="24"/>
          <w:szCs w:val="24"/>
          <w:lang w:val="en-GB"/>
        </w:rPr>
        <w:t xml:space="preserve">, from one room in his house to another was held to be trespass and nominal damages was awarded against the defendant. In </w:t>
      </w:r>
      <w:r>
        <w:rPr>
          <w:rFonts w:ascii="Times New Roman" w:hAnsi="Times New Roman" w:cs="Times New Roman"/>
          <w:b/>
          <w:i/>
          <w:sz w:val="24"/>
          <w:szCs w:val="24"/>
          <w:lang w:val="en-GB"/>
        </w:rPr>
        <w:t>Haydon V. Smith</w:t>
      </w:r>
      <w:r w:rsidR="004E4392">
        <w:rPr>
          <w:rStyle w:val="FootnoteReference"/>
          <w:rFonts w:ascii="Times New Roman" w:hAnsi="Times New Roman" w:cs="Times New Roman"/>
          <w:b/>
          <w:i/>
          <w:sz w:val="24"/>
          <w:szCs w:val="24"/>
          <w:lang w:val="en-GB"/>
        </w:rPr>
        <w:footnoteReference w:id="2"/>
      </w:r>
      <w:r>
        <w:rPr>
          <w:rFonts w:ascii="Times New Roman" w:hAnsi="Times New Roman" w:cs="Times New Roman"/>
          <w:b/>
          <w:i/>
          <w:sz w:val="24"/>
          <w:szCs w:val="24"/>
          <w:lang w:val="en-GB"/>
        </w:rPr>
        <w:t>,</w:t>
      </w:r>
      <w:r>
        <w:rPr>
          <w:rFonts w:ascii="Times New Roman" w:hAnsi="Times New Roman" w:cs="Times New Roman"/>
          <w:sz w:val="24"/>
          <w:szCs w:val="24"/>
          <w:lang w:val="en-GB"/>
        </w:rPr>
        <w:t xml:space="preserve"> it was held to be trespass for the defendant to cut and carry away the plaintiff’s trees.</w:t>
      </w:r>
    </w:p>
    <w:p w:rsidR="005E3CFB" w:rsidRPr="00BF71AF" w:rsidRDefault="005E3CFB" w:rsidP="00BF71AF">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Elements of trespass to chattels</w:t>
      </w:r>
    </w:p>
    <w:p w:rsidR="005E3CFB" w:rsidRDefault="005E3CFB" w:rsidP="008012BF">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order to prove trespass to chattels, you are required to show the following elements:</w:t>
      </w:r>
    </w:p>
    <w:p w:rsidR="005E3CFB" w:rsidRDefault="005E3CFB" w:rsidP="005E3CFB">
      <w:pPr>
        <w:pStyle w:val="ListParagraph"/>
        <w:numPr>
          <w:ilvl w:val="0"/>
          <w:numId w:val="2"/>
        </w:numPr>
        <w:spacing w:line="360" w:lineRule="auto"/>
        <w:jc w:val="both"/>
        <w:rPr>
          <w:rFonts w:ascii="Times New Roman" w:hAnsi="Times New Roman" w:cs="Times New Roman"/>
          <w:sz w:val="24"/>
          <w:szCs w:val="24"/>
          <w:lang w:val="en-GB"/>
        </w:rPr>
      </w:pPr>
      <w:r w:rsidRPr="00BF71AF">
        <w:rPr>
          <w:rFonts w:ascii="Times New Roman" w:hAnsi="Times New Roman" w:cs="Times New Roman"/>
          <w:b/>
          <w:sz w:val="24"/>
          <w:szCs w:val="24"/>
          <w:u w:val="single"/>
          <w:lang w:val="en-GB"/>
        </w:rPr>
        <w:t>Intent to trespass:</w:t>
      </w:r>
      <w:r>
        <w:rPr>
          <w:rFonts w:ascii="Times New Roman" w:hAnsi="Times New Roman" w:cs="Times New Roman"/>
          <w:sz w:val="24"/>
          <w:szCs w:val="24"/>
          <w:lang w:val="en-GB"/>
        </w:rPr>
        <w:t xml:space="preserve"> merely intending to do the act is enough to show this element of trespass. You don’t necessarily need to show intent to harm a specific person</w:t>
      </w:r>
    </w:p>
    <w:p w:rsidR="005E3CFB" w:rsidRDefault="005E3CFB" w:rsidP="005E3CFB">
      <w:pPr>
        <w:pStyle w:val="ListParagraph"/>
        <w:numPr>
          <w:ilvl w:val="0"/>
          <w:numId w:val="2"/>
        </w:numPr>
        <w:spacing w:line="360" w:lineRule="auto"/>
        <w:jc w:val="both"/>
        <w:rPr>
          <w:rFonts w:ascii="Times New Roman" w:hAnsi="Times New Roman" w:cs="Times New Roman"/>
          <w:sz w:val="24"/>
          <w:szCs w:val="24"/>
          <w:lang w:val="en-GB"/>
        </w:rPr>
      </w:pPr>
      <w:r w:rsidRPr="00BF71AF">
        <w:rPr>
          <w:rFonts w:ascii="Times New Roman" w:hAnsi="Times New Roman" w:cs="Times New Roman"/>
          <w:b/>
          <w:sz w:val="24"/>
          <w:szCs w:val="24"/>
          <w:u w:val="single"/>
          <w:lang w:val="en-GB"/>
        </w:rPr>
        <w:t>Lack of owner’s consent:</w:t>
      </w:r>
      <w:r>
        <w:rPr>
          <w:rFonts w:ascii="Times New Roman" w:hAnsi="Times New Roman" w:cs="Times New Roman"/>
          <w:sz w:val="24"/>
          <w:szCs w:val="24"/>
          <w:lang w:val="en-GB"/>
        </w:rPr>
        <w:t xml:space="preserve"> there must be an unauthorized, unlawful interference, which means the person interfered with or dispossessed the chattel without the owner’s permission</w:t>
      </w:r>
    </w:p>
    <w:p w:rsidR="005E3CFB" w:rsidRDefault="005E3CFB" w:rsidP="005E3CFB">
      <w:pPr>
        <w:pStyle w:val="ListParagraph"/>
        <w:numPr>
          <w:ilvl w:val="0"/>
          <w:numId w:val="2"/>
        </w:numPr>
        <w:spacing w:line="360" w:lineRule="auto"/>
        <w:jc w:val="both"/>
        <w:rPr>
          <w:rFonts w:ascii="Times New Roman" w:hAnsi="Times New Roman" w:cs="Times New Roman"/>
          <w:sz w:val="24"/>
          <w:szCs w:val="24"/>
          <w:lang w:val="en-GB"/>
        </w:rPr>
      </w:pPr>
      <w:r w:rsidRPr="00BF71AF">
        <w:rPr>
          <w:rFonts w:ascii="Times New Roman" w:hAnsi="Times New Roman" w:cs="Times New Roman"/>
          <w:b/>
          <w:sz w:val="24"/>
          <w:szCs w:val="24"/>
          <w:u w:val="single"/>
          <w:lang w:val="en-GB"/>
        </w:rPr>
        <w:t>Interference of chattels:</w:t>
      </w:r>
      <w:r>
        <w:rPr>
          <w:rFonts w:ascii="Times New Roman" w:hAnsi="Times New Roman" w:cs="Times New Roman"/>
          <w:sz w:val="24"/>
          <w:szCs w:val="24"/>
          <w:lang w:val="en-GB"/>
        </w:rPr>
        <w:t xml:space="preserve"> a person commits a trespass to chattel by </w:t>
      </w:r>
    </w:p>
    <w:p w:rsidR="005E3CFB" w:rsidRDefault="00DA6217" w:rsidP="005E3CF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Dispossessing another of the chattel</w:t>
      </w:r>
    </w:p>
    <w:p w:rsidR="00DA6217" w:rsidRDefault="00DA6217" w:rsidP="005E3CFB">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Using or intermeddling with a chattel in the possession of another, </w:t>
      </w:r>
    </w:p>
    <w:p w:rsidR="00DA6217" w:rsidRDefault="00DA6217" w:rsidP="00DA6217">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Damaging the chattel.</w:t>
      </w:r>
    </w:p>
    <w:p w:rsidR="00DA6217" w:rsidRDefault="00DA6217" w:rsidP="00DA621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 general rule, proving intention or negligence is very important as trespass to chattel is not a strict liability tort. Accident, intention or negligent trespass do not automatically give rise to liability per se, as an appropriate defence, may be pleaded to avoid liability. </w:t>
      </w:r>
    </w:p>
    <w:p w:rsidR="00DA6217" w:rsidRDefault="00DA6217" w:rsidP="00DA621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the case of </w:t>
      </w:r>
      <w:proofErr w:type="spellStart"/>
      <w:r>
        <w:rPr>
          <w:rFonts w:ascii="Times New Roman" w:hAnsi="Times New Roman" w:cs="Times New Roman"/>
          <w:b/>
          <w:i/>
          <w:sz w:val="24"/>
          <w:szCs w:val="24"/>
          <w:lang w:val="en-GB"/>
        </w:rPr>
        <w:t>Erivo</w:t>
      </w:r>
      <w:proofErr w:type="spellEnd"/>
      <w:r>
        <w:rPr>
          <w:rFonts w:ascii="Times New Roman" w:hAnsi="Times New Roman" w:cs="Times New Roman"/>
          <w:b/>
          <w:i/>
          <w:sz w:val="24"/>
          <w:szCs w:val="24"/>
          <w:lang w:val="en-GB"/>
        </w:rPr>
        <w:t xml:space="preserve"> V. Obi</w:t>
      </w:r>
      <w:r>
        <w:rPr>
          <w:rStyle w:val="FootnoteReference"/>
          <w:rFonts w:ascii="Times New Roman" w:hAnsi="Times New Roman" w:cs="Times New Roman"/>
          <w:b/>
          <w:i/>
          <w:sz w:val="24"/>
          <w:szCs w:val="24"/>
          <w:lang w:val="en-GB"/>
        </w:rPr>
        <w:footnoteReference w:id="3"/>
      </w:r>
      <w:r w:rsidR="00F865EC">
        <w:rPr>
          <w:rFonts w:ascii="Times New Roman" w:hAnsi="Times New Roman" w:cs="Times New Roman"/>
          <w:b/>
          <w:i/>
          <w:sz w:val="24"/>
          <w:szCs w:val="24"/>
          <w:lang w:val="en-GB"/>
        </w:rPr>
        <w:t>,</w:t>
      </w:r>
      <w:r w:rsidR="00F865EC">
        <w:rPr>
          <w:rFonts w:ascii="Times New Roman" w:hAnsi="Times New Roman" w:cs="Times New Roman"/>
          <w:sz w:val="24"/>
          <w:szCs w:val="24"/>
          <w:lang w:val="en-GB"/>
        </w:rPr>
        <w:t xml:space="preserve"> the</w:t>
      </w:r>
      <w:r w:rsidR="00C120B8">
        <w:rPr>
          <w:rFonts w:ascii="Times New Roman" w:hAnsi="Times New Roman" w:cs="Times New Roman"/>
          <w:sz w:val="24"/>
          <w:szCs w:val="24"/>
          <w:lang w:val="en-GB"/>
        </w:rPr>
        <w:t xml:space="preserve"> defendant respondent closed the door of the plaintiff appellant’s car, and the side widescreen got broken. The appellant sued inter alia for damage to </w:t>
      </w:r>
      <w:r w:rsidR="00F865EC">
        <w:rPr>
          <w:rFonts w:ascii="Times New Roman" w:hAnsi="Times New Roman" w:cs="Times New Roman"/>
          <w:sz w:val="24"/>
          <w:szCs w:val="24"/>
          <w:lang w:val="en-GB"/>
        </w:rPr>
        <w:t>the</w:t>
      </w:r>
      <w:r w:rsidR="00C120B8">
        <w:rPr>
          <w:rFonts w:ascii="Times New Roman" w:hAnsi="Times New Roman" w:cs="Times New Roman"/>
          <w:sz w:val="24"/>
          <w:szCs w:val="24"/>
          <w:lang w:val="en-GB"/>
        </w:rPr>
        <w:t xml:space="preserve"> windscreen and the loss he incurred in hiring another car to attend to his business. The defendant respondent alternatively pleaded inevitable accident. The Court of Appeal held that the defendant respondent was not liable. He did not use excessive force but only normal force in closing door of the car. He did not break</w:t>
      </w:r>
      <w:r w:rsidR="008012BF">
        <w:rPr>
          <w:rFonts w:ascii="Times New Roman" w:hAnsi="Times New Roman" w:cs="Times New Roman"/>
          <w:sz w:val="24"/>
          <w:szCs w:val="24"/>
          <w:lang w:val="en-GB"/>
        </w:rPr>
        <w:t xml:space="preserve"> the windscreen intentionally, </w:t>
      </w:r>
      <w:r w:rsidR="00C120B8">
        <w:rPr>
          <w:rFonts w:ascii="Times New Roman" w:hAnsi="Times New Roman" w:cs="Times New Roman"/>
          <w:sz w:val="24"/>
          <w:szCs w:val="24"/>
          <w:lang w:val="en-GB"/>
        </w:rPr>
        <w:t xml:space="preserve">or </w:t>
      </w:r>
      <w:r w:rsidR="00F865EC">
        <w:rPr>
          <w:rFonts w:ascii="Times New Roman" w:hAnsi="Times New Roman" w:cs="Times New Roman"/>
          <w:sz w:val="24"/>
          <w:szCs w:val="24"/>
          <w:lang w:val="en-GB"/>
        </w:rPr>
        <w:t>negligently. It was an inevitable accident which exercise of reasonable care and the normal force used by respondent could not avert.</w:t>
      </w:r>
      <w:r w:rsidR="00C120B8">
        <w:rPr>
          <w:rFonts w:ascii="Times New Roman" w:hAnsi="Times New Roman" w:cs="Times New Roman"/>
          <w:sz w:val="24"/>
          <w:szCs w:val="24"/>
          <w:lang w:val="en-GB"/>
        </w:rPr>
        <w:t xml:space="preserve"> </w:t>
      </w:r>
    </w:p>
    <w:p w:rsidR="00277C27" w:rsidRPr="00BF71AF" w:rsidRDefault="00277C27" w:rsidP="00046693">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Persons who may sue for trespass to chattel</w:t>
      </w:r>
    </w:p>
    <w:p w:rsidR="00BB2FF1" w:rsidRDefault="00277C27" w:rsidP="00DA621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Anyone who has possession or caretaker ship of a chattel may sue any other person who meddles with the chattel. Anyone who has possession or right immediate possession can be </w:t>
      </w:r>
      <w:proofErr w:type="gramStart"/>
      <w:r>
        <w:rPr>
          <w:rFonts w:ascii="Times New Roman" w:hAnsi="Times New Roman" w:cs="Times New Roman"/>
          <w:sz w:val="24"/>
          <w:szCs w:val="24"/>
          <w:lang w:val="en-GB"/>
        </w:rPr>
        <w:t>sue</w:t>
      </w:r>
      <w:proofErr w:type="gramEnd"/>
      <w:r>
        <w:rPr>
          <w:rFonts w:ascii="Times New Roman" w:hAnsi="Times New Roman" w:cs="Times New Roman"/>
          <w:sz w:val="24"/>
          <w:szCs w:val="24"/>
          <w:lang w:val="en-GB"/>
        </w:rPr>
        <w:t xml:space="preserve">. </w:t>
      </w:r>
      <w:r w:rsidR="00BB2FF1">
        <w:rPr>
          <w:rFonts w:ascii="Times New Roman" w:hAnsi="Times New Roman" w:cs="Times New Roman"/>
          <w:sz w:val="24"/>
          <w:szCs w:val="24"/>
          <w:lang w:val="en-GB"/>
        </w:rPr>
        <w:t>Therefore, the persons who may sue for trespass to chattel, provided they have possession at the material time of the interference include:</w:t>
      </w:r>
    </w:p>
    <w:p w:rsidR="00BB2FF1" w:rsidRDefault="00BB2FF1" w:rsidP="00BB2FF1">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Owners</w:t>
      </w:r>
    </w:p>
    <w:p w:rsidR="00046693" w:rsidRPr="00046693" w:rsidRDefault="00BB2FF1" w:rsidP="00046693">
      <w:pPr>
        <w:pStyle w:val="ListParagraph"/>
        <w:numPr>
          <w:ilvl w:val="0"/>
          <w:numId w:val="16"/>
        </w:numPr>
        <w:spacing w:line="360" w:lineRule="auto"/>
        <w:jc w:val="both"/>
        <w:rPr>
          <w:rFonts w:ascii="Times New Roman" w:hAnsi="Times New Roman" w:cs="Times New Roman"/>
          <w:sz w:val="24"/>
          <w:szCs w:val="24"/>
          <w:lang w:val="en-GB"/>
        </w:rPr>
      </w:pPr>
      <w:r w:rsidRPr="00046693">
        <w:rPr>
          <w:rFonts w:ascii="Times New Roman" w:hAnsi="Times New Roman" w:cs="Times New Roman"/>
          <w:sz w:val="24"/>
          <w:szCs w:val="24"/>
          <w:lang w:val="en-GB"/>
        </w:rPr>
        <w:lastRenderedPageBreak/>
        <w:t>Lenders</w:t>
      </w:r>
    </w:p>
    <w:p w:rsidR="00BB2FF1" w:rsidRPr="00046693" w:rsidRDefault="00BB2FF1" w:rsidP="00046693">
      <w:pPr>
        <w:pStyle w:val="ListParagraph"/>
        <w:numPr>
          <w:ilvl w:val="0"/>
          <w:numId w:val="16"/>
        </w:numPr>
        <w:spacing w:line="360" w:lineRule="auto"/>
        <w:jc w:val="both"/>
        <w:rPr>
          <w:rFonts w:ascii="Times New Roman" w:hAnsi="Times New Roman" w:cs="Times New Roman"/>
          <w:sz w:val="24"/>
          <w:szCs w:val="24"/>
          <w:lang w:val="en-GB"/>
        </w:rPr>
      </w:pPr>
      <w:r w:rsidRPr="00046693">
        <w:rPr>
          <w:rFonts w:ascii="Times New Roman" w:hAnsi="Times New Roman" w:cs="Times New Roman"/>
          <w:sz w:val="24"/>
          <w:szCs w:val="24"/>
          <w:lang w:val="en-GB"/>
        </w:rPr>
        <w:t>Custodians</w:t>
      </w:r>
    </w:p>
    <w:p w:rsidR="00BB2FF1" w:rsidRDefault="00BB2FF1" w:rsidP="00046693">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Caretakers</w:t>
      </w:r>
    </w:p>
    <w:p w:rsidR="00BB2FF1" w:rsidRDefault="00BB2FF1" w:rsidP="00046693">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Executors</w:t>
      </w:r>
    </w:p>
    <w:p w:rsidR="00BB2FF1" w:rsidRDefault="00BF71AF" w:rsidP="00046693">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Trustee.</w:t>
      </w:r>
    </w:p>
    <w:p w:rsidR="00BF71AF" w:rsidRDefault="00BF71AF" w:rsidP="00BF71AF">
      <w:pPr>
        <w:spacing w:line="360" w:lineRule="auto"/>
        <w:jc w:val="center"/>
        <w:rPr>
          <w:rFonts w:ascii="Times New Roman" w:hAnsi="Times New Roman" w:cs="Times New Roman"/>
          <w:b/>
          <w:sz w:val="24"/>
          <w:szCs w:val="24"/>
          <w:u w:val="single"/>
          <w:lang w:val="en-GB"/>
        </w:rPr>
      </w:pPr>
      <w:proofErr w:type="gramStart"/>
      <w:r>
        <w:rPr>
          <w:rFonts w:ascii="Times New Roman" w:hAnsi="Times New Roman" w:cs="Times New Roman"/>
          <w:b/>
          <w:sz w:val="24"/>
          <w:szCs w:val="24"/>
          <w:u w:val="single"/>
          <w:lang w:val="en-GB"/>
        </w:rPr>
        <w:t>Defences for trespass to chat</w:t>
      </w:r>
      <w:r w:rsidR="00046693">
        <w:rPr>
          <w:rFonts w:ascii="Times New Roman" w:hAnsi="Times New Roman" w:cs="Times New Roman"/>
          <w:b/>
          <w:sz w:val="24"/>
          <w:szCs w:val="24"/>
          <w:u w:val="single"/>
          <w:lang w:val="en-GB"/>
        </w:rPr>
        <w:t>tel.</w:t>
      </w:r>
      <w:proofErr w:type="gramEnd"/>
    </w:p>
    <w:p w:rsidR="00BF71AF" w:rsidRPr="00BF71AF" w:rsidRDefault="00BF71AF" w:rsidP="004E4392">
      <w:pPr>
        <w:spacing w:line="360" w:lineRule="auto"/>
        <w:ind w:firstLine="720"/>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1.) </w:t>
      </w:r>
      <w:r w:rsidRPr="004E4392">
        <w:rPr>
          <w:rFonts w:ascii="Times New Roman" w:hAnsi="Times New Roman" w:cs="Times New Roman"/>
          <w:b/>
          <w:sz w:val="24"/>
          <w:szCs w:val="24"/>
          <w:u w:val="single"/>
          <w:lang w:val="en-GB"/>
        </w:rPr>
        <w:t>Consent:</w:t>
      </w:r>
      <w:r w:rsidRPr="00BF71AF">
        <w:rPr>
          <w:rFonts w:ascii="Times New Roman" w:hAnsi="Times New Roman" w:cs="Times New Roman"/>
          <w:sz w:val="24"/>
          <w:szCs w:val="24"/>
          <w:lang w:val="en-GB"/>
        </w:rPr>
        <w:t xml:space="preserve"> this is the most common defence to trespass. If the owner of the property gave you permission to use their personal property. It should be noted that consent can be given through both words and actions. This defence will not work if t</w:t>
      </w:r>
      <w:r w:rsidR="004E4392">
        <w:rPr>
          <w:rFonts w:ascii="Times New Roman" w:hAnsi="Times New Roman" w:cs="Times New Roman"/>
          <w:sz w:val="24"/>
          <w:szCs w:val="24"/>
          <w:lang w:val="en-GB"/>
        </w:rPr>
        <w:t xml:space="preserve">he consent was induced by fraud </w:t>
      </w:r>
      <w:r w:rsidRPr="00BF71AF">
        <w:rPr>
          <w:rFonts w:ascii="Times New Roman" w:hAnsi="Times New Roman" w:cs="Times New Roman"/>
          <w:sz w:val="24"/>
          <w:szCs w:val="24"/>
          <w:lang w:val="en-GB"/>
        </w:rPr>
        <w:t>or was given by someone who is incompetent, intoxicated or a minor.</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2.)</w:t>
      </w:r>
      <w:r w:rsidRPr="00BF71AF">
        <w:rPr>
          <w:rFonts w:ascii="Times New Roman" w:hAnsi="Times New Roman" w:cs="Times New Roman"/>
          <w:sz w:val="24"/>
          <w:szCs w:val="24"/>
          <w:lang w:val="en-GB"/>
        </w:rPr>
        <w:tab/>
        <w:t>Inevitable accident</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3.)</w:t>
      </w:r>
      <w:r w:rsidRPr="00BF71AF">
        <w:rPr>
          <w:rFonts w:ascii="Times New Roman" w:hAnsi="Times New Roman" w:cs="Times New Roman"/>
          <w:sz w:val="24"/>
          <w:szCs w:val="24"/>
          <w:lang w:val="en-GB"/>
        </w:rPr>
        <w:tab/>
        <w:t>Limitation of time as a result of the expiration of time specified for legal action.</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4.)</w:t>
      </w:r>
      <w:r w:rsidRPr="00BF71AF">
        <w:rPr>
          <w:rFonts w:ascii="Times New Roman" w:hAnsi="Times New Roman" w:cs="Times New Roman"/>
          <w:sz w:val="24"/>
          <w:szCs w:val="24"/>
          <w:lang w:val="en-GB"/>
        </w:rPr>
        <w:tab/>
      </w:r>
      <w:r w:rsidRPr="004E4392">
        <w:rPr>
          <w:rFonts w:ascii="Times New Roman" w:hAnsi="Times New Roman" w:cs="Times New Roman"/>
          <w:b/>
          <w:sz w:val="24"/>
          <w:szCs w:val="24"/>
          <w:u w:val="single"/>
          <w:lang w:val="en-GB"/>
        </w:rPr>
        <w:t xml:space="preserve">Public necessity: </w:t>
      </w:r>
      <w:r w:rsidRPr="00BF71AF">
        <w:rPr>
          <w:rFonts w:ascii="Times New Roman" w:hAnsi="Times New Roman" w:cs="Times New Roman"/>
          <w:sz w:val="24"/>
          <w:szCs w:val="24"/>
          <w:lang w:val="en-GB"/>
        </w:rPr>
        <w:t>this defence can be used if you intentionally interfere with another person’s chattel to protect the public. If you acted unreasonably when taking another person’s chattel, this defence will not be available to the person.</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5.)</w:t>
      </w:r>
      <w:r w:rsidRPr="00BF71AF">
        <w:rPr>
          <w:rFonts w:ascii="Times New Roman" w:hAnsi="Times New Roman" w:cs="Times New Roman"/>
          <w:sz w:val="24"/>
          <w:szCs w:val="24"/>
          <w:lang w:val="en-GB"/>
        </w:rPr>
        <w:tab/>
        <w:t xml:space="preserve"> </w:t>
      </w:r>
      <w:r w:rsidRPr="004E4392">
        <w:rPr>
          <w:rFonts w:ascii="Times New Roman" w:hAnsi="Times New Roman" w:cs="Times New Roman"/>
          <w:b/>
          <w:sz w:val="24"/>
          <w:szCs w:val="24"/>
          <w:u w:val="single"/>
          <w:lang w:val="en-GB"/>
        </w:rPr>
        <w:t>Private necessity</w:t>
      </w:r>
      <w:r w:rsidRPr="00BF71AF">
        <w:rPr>
          <w:rFonts w:ascii="Times New Roman" w:hAnsi="Times New Roman" w:cs="Times New Roman"/>
          <w:sz w:val="24"/>
          <w:szCs w:val="24"/>
          <w:lang w:val="en-GB"/>
        </w:rPr>
        <w:t>: this defence can be used when the purpose of using another person’s chattel is to protect your own interests. If can only be claimed if you were attempting to protect yourself from death or serious bodily harm.</w:t>
      </w:r>
    </w:p>
    <w:p w:rsidR="00BF71AF" w:rsidRPr="004E4392" w:rsidRDefault="00BF71AF" w:rsidP="004E4392">
      <w:pPr>
        <w:spacing w:line="360" w:lineRule="auto"/>
        <w:jc w:val="center"/>
        <w:rPr>
          <w:rFonts w:ascii="Times New Roman" w:hAnsi="Times New Roman" w:cs="Times New Roman"/>
          <w:b/>
          <w:sz w:val="24"/>
          <w:szCs w:val="24"/>
          <w:u w:val="single"/>
          <w:lang w:val="en-GB"/>
        </w:rPr>
      </w:pPr>
      <w:proofErr w:type="gramStart"/>
      <w:r w:rsidRPr="004E4392">
        <w:rPr>
          <w:rFonts w:ascii="Times New Roman" w:hAnsi="Times New Roman" w:cs="Times New Roman"/>
          <w:b/>
          <w:sz w:val="24"/>
          <w:szCs w:val="24"/>
          <w:u w:val="single"/>
          <w:lang w:val="en-GB"/>
        </w:rPr>
        <w:t>The remedies for trespass to chattel</w:t>
      </w:r>
      <w:r w:rsidR="00046693">
        <w:rPr>
          <w:rFonts w:ascii="Times New Roman" w:hAnsi="Times New Roman" w:cs="Times New Roman"/>
          <w:b/>
          <w:sz w:val="24"/>
          <w:szCs w:val="24"/>
          <w:u w:val="single"/>
          <w:lang w:val="en-GB"/>
        </w:rPr>
        <w:t>.</w:t>
      </w:r>
      <w:proofErr w:type="gramEnd"/>
      <w:r w:rsidR="00046693">
        <w:rPr>
          <w:rFonts w:ascii="Times New Roman" w:hAnsi="Times New Roman" w:cs="Times New Roman"/>
          <w:b/>
          <w:sz w:val="24"/>
          <w:szCs w:val="24"/>
          <w:u w:val="single"/>
          <w:lang w:val="en-GB"/>
        </w:rPr>
        <w:t xml:space="preserve">  </w:t>
      </w:r>
    </w:p>
    <w:p w:rsidR="00BF71AF" w:rsidRPr="00BF71AF" w:rsidRDefault="00BF71AF" w:rsidP="00BF71AF">
      <w:pPr>
        <w:spacing w:line="360" w:lineRule="auto"/>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The remedies available to a person whose chattel has been meddled with are;</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1.)</w:t>
      </w:r>
      <w:r w:rsidRPr="00BF71AF">
        <w:rPr>
          <w:rFonts w:ascii="Times New Roman" w:hAnsi="Times New Roman" w:cs="Times New Roman"/>
          <w:sz w:val="24"/>
          <w:szCs w:val="24"/>
          <w:lang w:val="en-GB"/>
        </w:rPr>
        <w:tab/>
        <w:t>Payment of damages</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2.)</w:t>
      </w:r>
      <w:r w:rsidRPr="00BF71AF">
        <w:rPr>
          <w:rFonts w:ascii="Times New Roman" w:hAnsi="Times New Roman" w:cs="Times New Roman"/>
          <w:sz w:val="24"/>
          <w:szCs w:val="24"/>
          <w:lang w:val="en-GB"/>
        </w:rPr>
        <w:tab/>
        <w:t>Replacement of the chattel</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3.)</w:t>
      </w:r>
      <w:r w:rsidRPr="00BF71AF">
        <w:rPr>
          <w:rFonts w:ascii="Times New Roman" w:hAnsi="Times New Roman" w:cs="Times New Roman"/>
          <w:sz w:val="24"/>
          <w:szCs w:val="24"/>
          <w:lang w:val="en-GB"/>
        </w:rPr>
        <w:tab/>
        <w:t>Payment of the market price of the chattel</w:t>
      </w:r>
    </w:p>
    <w:p w:rsidR="00BF71AF" w:rsidRPr="00BF71AF" w:rsidRDefault="00BF71AF" w:rsidP="004E4392">
      <w:pPr>
        <w:spacing w:line="360" w:lineRule="auto"/>
        <w:ind w:firstLine="720"/>
        <w:jc w:val="both"/>
        <w:rPr>
          <w:rFonts w:ascii="Times New Roman" w:hAnsi="Times New Roman" w:cs="Times New Roman"/>
          <w:sz w:val="24"/>
          <w:szCs w:val="24"/>
          <w:lang w:val="en-GB"/>
        </w:rPr>
      </w:pPr>
      <w:r w:rsidRPr="00BF71AF">
        <w:rPr>
          <w:rFonts w:ascii="Times New Roman" w:hAnsi="Times New Roman" w:cs="Times New Roman"/>
          <w:sz w:val="24"/>
          <w:szCs w:val="24"/>
          <w:lang w:val="en-GB"/>
        </w:rPr>
        <w:t>4.)</w:t>
      </w:r>
      <w:r w:rsidRPr="00BF71AF">
        <w:rPr>
          <w:rFonts w:ascii="Times New Roman" w:hAnsi="Times New Roman" w:cs="Times New Roman"/>
          <w:sz w:val="24"/>
          <w:szCs w:val="24"/>
          <w:lang w:val="en-GB"/>
        </w:rPr>
        <w:tab/>
        <w:t>Repair of the damage.</w:t>
      </w:r>
    </w:p>
    <w:p w:rsidR="00F865EC" w:rsidRPr="00BF71AF" w:rsidRDefault="00F865EC" w:rsidP="00046693">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Definition of Conversion</w:t>
      </w:r>
    </w:p>
    <w:p w:rsidR="00F865EC" w:rsidRDefault="00D42873" w:rsidP="00581EB1">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Trespass as a tort can be committed against property and goods. However, in contrast, the tort of conversion can only be applied to goods. </w:t>
      </w:r>
      <w:r w:rsidR="00581EB1">
        <w:rPr>
          <w:rFonts w:ascii="Times New Roman" w:hAnsi="Times New Roman" w:cs="Times New Roman"/>
          <w:sz w:val="24"/>
          <w:szCs w:val="24"/>
          <w:lang w:val="en-GB"/>
        </w:rPr>
        <w:t xml:space="preserve">The action for conversion (originally called </w:t>
      </w:r>
      <w:r w:rsidR="00581EB1">
        <w:rPr>
          <w:rFonts w:ascii="Times New Roman" w:hAnsi="Times New Roman" w:cs="Times New Roman"/>
          <w:b/>
          <w:sz w:val="24"/>
          <w:szCs w:val="24"/>
          <w:lang w:val="en-GB"/>
        </w:rPr>
        <w:t>TROVER)</w:t>
      </w:r>
      <w:r w:rsidR="00581EB1">
        <w:rPr>
          <w:rFonts w:ascii="Times New Roman" w:hAnsi="Times New Roman" w:cs="Times New Roman"/>
          <w:sz w:val="24"/>
          <w:szCs w:val="24"/>
          <w:lang w:val="en-GB"/>
        </w:rPr>
        <w:t xml:space="preserve"> developed upon legal fiction. The original form of the pleadings alleged that the defendant had found the claimant’s chattels (hence called the “trover”) and had wrongfully converted them to his. </w:t>
      </w:r>
      <w:r>
        <w:rPr>
          <w:rFonts w:ascii="Times New Roman" w:hAnsi="Times New Roman" w:cs="Times New Roman"/>
          <w:sz w:val="24"/>
          <w:szCs w:val="24"/>
          <w:lang w:val="en-GB"/>
        </w:rPr>
        <w:t>Conversion involves a voluntary act, causing interference against another person’s goods. Conversion can also be committed even when a person has no intention to commit the tort. Conversion is any intentional interference with another person’s chattel which unlawfully deprives the person title, possession or use of it. It includes wrongful taking, wrongful detention and or wrongful disposition of the property of another person.</w:t>
      </w:r>
      <w:r w:rsidR="008012BF">
        <w:rPr>
          <w:rFonts w:ascii="Times New Roman" w:hAnsi="Times New Roman" w:cs="Times New Roman"/>
          <w:sz w:val="24"/>
          <w:szCs w:val="24"/>
          <w:lang w:val="en-GB"/>
        </w:rPr>
        <w:tab/>
      </w:r>
      <w:r w:rsidR="00581EB1">
        <w:rPr>
          <w:rFonts w:ascii="Times New Roman" w:hAnsi="Times New Roman" w:cs="Times New Roman"/>
          <w:sz w:val="24"/>
          <w:szCs w:val="24"/>
          <w:lang w:val="en-GB"/>
        </w:rPr>
        <w:t xml:space="preserve">In the case of </w:t>
      </w:r>
      <w:r w:rsidR="00581EB1">
        <w:rPr>
          <w:rFonts w:ascii="Times New Roman" w:hAnsi="Times New Roman" w:cs="Times New Roman"/>
          <w:b/>
          <w:i/>
          <w:sz w:val="24"/>
          <w:szCs w:val="24"/>
          <w:lang w:val="en-GB"/>
        </w:rPr>
        <w:t>North Central Wagon and Finance Co Ltd V. Graham</w:t>
      </w:r>
      <w:r w:rsidR="00591AFC">
        <w:rPr>
          <w:rStyle w:val="FootnoteReference"/>
          <w:rFonts w:ascii="Times New Roman" w:hAnsi="Times New Roman" w:cs="Times New Roman"/>
          <w:b/>
          <w:i/>
          <w:sz w:val="24"/>
          <w:szCs w:val="24"/>
          <w:lang w:val="en-GB"/>
        </w:rPr>
        <w:footnoteReference w:id="4"/>
      </w:r>
      <w:r w:rsidR="00581EB1">
        <w:rPr>
          <w:rFonts w:ascii="Times New Roman" w:hAnsi="Times New Roman" w:cs="Times New Roman"/>
          <w:b/>
          <w:i/>
          <w:sz w:val="24"/>
          <w:szCs w:val="24"/>
          <w:lang w:val="en-GB"/>
        </w:rPr>
        <w:t xml:space="preserve">, </w:t>
      </w:r>
      <w:r w:rsidR="00581EB1">
        <w:rPr>
          <w:rFonts w:ascii="Times New Roman" w:hAnsi="Times New Roman" w:cs="Times New Roman"/>
          <w:sz w:val="24"/>
          <w:szCs w:val="24"/>
          <w:lang w:val="en-GB"/>
        </w:rPr>
        <w:t>the defendant defaulted payment. According to the terms of the contract, upon default, the plaintiff would be entitled to reclaim the goods. The defendant without informing the plaintiff auctioned the car. Thus the plaintiff sued the auctioned for conversion. The court held that the plaintiffs could sue in conversion regards of the fact that the plaintiff didn’t have actual possession of the car at the time. Since the right in the goods were already vested in the plaintiff, there was no need for actual possession.</w:t>
      </w:r>
    </w:p>
    <w:p w:rsidR="00AE7D39" w:rsidRPr="00BF71AF" w:rsidRDefault="00AE7D39" w:rsidP="004E4392">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Who may sue for conversion?</w:t>
      </w:r>
    </w:p>
    <w:p w:rsidR="00AE7D39" w:rsidRDefault="00AE7D39" w:rsidP="00AE7D3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tort of conversion, like other trespass to chattel, is mainly an interference with possession. Those who may sue in the tort of conversion include;</w:t>
      </w:r>
    </w:p>
    <w:p w:rsidR="00AE7D39" w:rsidRDefault="00AE7D39" w:rsidP="00AE7D39">
      <w:pPr>
        <w:pStyle w:val="ListParagraph"/>
        <w:numPr>
          <w:ilvl w:val="0"/>
          <w:numId w:val="1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Owners</w:t>
      </w:r>
    </w:p>
    <w:p w:rsidR="00AE7D39" w:rsidRDefault="00AE7D39" w:rsidP="00AE7D39">
      <w:pPr>
        <w:pStyle w:val="ListParagraph"/>
        <w:numPr>
          <w:ilvl w:val="0"/>
          <w:numId w:val="17"/>
        </w:num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Bailees</w:t>
      </w:r>
      <w:proofErr w:type="spellEnd"/>
    </w:p>
    <w:p w:rsidR="00AE7D39" w:rsidRDefault="00AE7D39" w:rsidP="00AE7D39">
      <w:pPr>
        <w:pStyle w:val="ListParagraph"/>
        <w:numPr>
          <w:ilvl w:val="0"/>
          <w:numId w:val="1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Buyers</w:t>
      </w:r>
    </w:p>
    <w:p w:rsidR="00AE7D39" w:rsidRDefault="00AE7D39" w:rsidP="00AE7D39">
      <w:pPr>
        <w:pStyle w:val="ListParagraph"/>
        <w:numPr>
          <w:ilvl w:val="0"/>
          <w:numId w:val="1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Assignees</w:t>
      </w:r>
    </w:p>
    <w:p w:rsidR="00AE7D39" w:rsidRDefault="00AE7D39" w:rsidP="00AE7D39">
      <w:pPr>
        <w:pStyle w:val="ListParagraph"/>
        <w:numPr>
          <w:ilvl w:val="0"/>
          <w:numId w:val="1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Trustee</w:t>
      </w:r>
    </w:p>
    <w:p w:rsidR="00AE7D39" w:rsidRPr="00AE7D39" w:rsidRDefault="00AE7D39" w:rsidP="00AE7D39">
      <w:pPr>
        <w:pStyle w:val="ListParagraph"/>
        <w:numPr>
          <w:ilvl w:val="0"/>
          <w:numId w:val="1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finders</w:t>
      </w:r>
    </w:p>
    <w:p w:rsidR="00591AFC" w:rsidRPr="00BF71AF" w:rsidRDefault="00591AFC" w:rsidP="004E4392">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Examples of Conversion</w:t>
      </w:r>
    </w:p>
    <w:p w:rsidR="00591AFC" w:rsidRDefault="00591AFC" w:rsidP="00AE7D3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Conversion of goods would arise in the following situations:</w:t>
      </w:r>
    </w:p>
    <w:p w:rsidR="00591AFC" w:rsidRDefault="00591AFC" w:rsidP="00591AFC">
      <w:pPr>
        <w:pStyle w:val="ListParagraph"/>
        <w:numPr>
          <w:ilvl w:val="0"/>
          <w:numId w:val="4"/>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lastRenderedPageBreak/>
        <w:t>Wrongfully taking the goods:</w:t>
      </w:r>
      <w:r>
        <w:rPr>
          <w:rFonts w:ascii="Times New Roman" w:hAnsi="Times New Roman" w:cs="Times New Roman"/>
          <w:sz w:val="24"/>
          <w:szCs w:val="24"/>
          <w:lang w:val="en-GB"/>
        </w:rPr>
        <w:t xml:space="preserve"> Where a defendant takes a plaintiff’s chattel out of the plaintiff’s possession without lawful justification with the intent of exercising dominion over the goods permanently or even temporarily, there is conversion. In </w:t>
      </w:r>
      <w:proofErr w:type="spellStart"/>
      <w:r>
        <w:rPr>
          <w:rFonts w:ascii="Times New Roman" w:hAnsi="Times New Roman" w:cs="Times New Roman"/>
          <w:b/>
          <w:i/>
          <w:sz w:val="24"/>
          <w:szCs w:val="24"/>
          <w:lang w:val="en-GB"/>
        </w:rPr>
        <w:t>Fouldes</w:t>
      </w:r>
      <w:proofErr w:type="spellEnd"/>
      <w:r>
        <w:rPr>
          <w:rFonts w:ascii="Times New Roman" w:hAnsi="Times New Roman" w:cs="Times New Roman"/>
          <w:b/>
          <w:i/>
          <w:sz w:val="24"/>
          <w:szCs w:val="24"/>
          <w:lang w:val="en-GB"/>
        </w:rPr>
        <w:t xml:space="preserve"> V. Willoughby</w:t>
      </w:r>
      <w:r w:rsidR="004E4392">
        <w:rPr>
          <w:rStyle w:val="FootnoteReference"/>
          <w:rFonts w:ascii="Times New Roman" w:hAnsi="Times New Roman" w:cs="Times New Roman"/>
          <w:b/>
          <w:i/>
          <w:sz w:val="24"/>
          <w:szCs w:val="24"/>
          <w:lang w:val="en-GB"/>
        </w:rPr>
        <w:footnoteReference w:id="5"/>
      </w:r>
      <w:r>
        <w:rPr>
          <w:rFonts w:ascii="Times New Roman" w:hAnsi="Times New Roman" w:cs="Times New Roman"/>
          <w:b/>
          <w:i/>
          <w:sz w:val="24"/>
          <w:szCs w:val="24"/>
          <w:lang w:val="en-GB"/>
        </w:rPr>
        <w:t xml:space="preserve">, </w:t>
      </w:r>
      <w:r>
        <w:rPr>
          <w:rFonts w:ascii="Times New Roman" w:hAnsi="Times New Roman" w:cs="Times New Roman"/>
          <w:sz w:val="24"/>
          <w:szCs w:val="24"/>
          <w:lang w:val="en-GB"/>
        </w:rPr>
        <w:t xml:space="preserve">the owner of two horses brought them abroad a ferry. In an ensuing argument, the ferryman told the horse owner to remove the horses but he refused. He then personally removed the horses and led them ashore. On </w:t>
      </w:r>
      <w:r w:rsidR="00C747A0">
        <w:rPr>
          <w:rFonts w:ascii="Times New Roman" w:hAnsi="Times New Roman" w:cs="Times New Roman"/>
          <w:sz w:val="24"/>
          <w:szCs w:val="24"/>
          <w:lang w:val="en-GB"/>
        </w:rPr>
        <w:t>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C747A0" w:rsidRDefault="00C747A0" w:rsidP="00591AFC">
      <w:pPr>
        <w:pStyle w:val="ListParagraph"/>
        <w:numPr>
          <w:ilvl w:val="0"/>
          <w:numId w:val="4"/>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Wrongfully detaining the goods:</w:t>
      </w:r>
      <w:r>
        <w:rPr>
          <w:rFonts w:ascii="Times New Roman" w:hAnsi="Times New Roman" w:cs="Times New Roman"/>
          <w:sz w:val="24"/>
          <w:szCs w:val="24"/>
          <w:lang w:val="en-GB"/>
        </w:rPr>
        <w:t xml:space="preserve">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 In the case of </w:t>
      </w:r>
      <w:r>
        <w:rPr>
          <w:rFonts w:ascii="Times New Roman" w:hAnsi="Times New Roman" w:cs="Times New Roman"/>
          <w:b/>
          <w:i/>
          <w:sz w:val="24"/>
          <w:szCs w:val="24"/>
          <w:lang w:val="en-GB"/>
        </w:rPr>
        <w:t>Howard E Perry and Co Ltd V. British Railway Board</w:t>
      </w:r>
      <w:r>
        <w:rPr>
          <w:rStyle w:val="FootnoteReference"/>
          <w:rFonts w:ascii="Times New Roman" w:hAnsi="Times New Roman" w:cs="Times New Roman"/>
          <w:b/>
          <w:i/>
          <w:sz w:val="24"/>
          <w:szCs w:val="24"/>
          <w:lang w:val="en-GB"/>
        </w:rPr>
        <w:footnoteReference w:id="6"/>
      </w:r>
      <w:r w:rsidR="00BD78BE">
        <w:rPr>
          <w:rFonts w:ascii="Times New Roman" w:hAnsi="Times New Roman" w:cs="Times New Roman"/>
          <w:b/>
          <w:i/>
          <w:sz w:val="24"/>
          <w:szCs w:val="24"/>
          <w:lang w:val="en-GB"/>
        </w:rPr>
        <w:t>,</w:t>
      </w:r>
      <w:r w:rsidR="00BD78BE">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defendant</w:t>
      </w:r>
      <w:r w:rsidR="00BD78BE">
        <w:rPr>
          <w:rFonts w:ascii="Times New Roman" w:hAnsi="Times New Roman" w:cs="Times New Roman"/>
          <w:sz w:val="24"/>
          <w:szCs w:val="24"/>
          <w:lang w:val="en-GB"/>
        </w:rPr>
        <w:t>s</w:t>
      </w:r>
      <w:r>
        <w:rPr>
          <w:rFonts w:ascii="Times New Roman" w:hAnsi="Times New Roman" w:cs="Times New Roman"/>
          <w:sz w:val="24"/>
          <w:szCs w:val="24"/>
          <w:lang w:val="en-GB"/>
        </w:rPr>
        <w:t xml:space="preserve"> who were carriers held the plaintiff’s steel in depots. Subsequently, there was a strike by steelworkers and due to this, the defendants refused to release the plaintiff’s steel to them. It was held that this amounted to conversion on the defendant’s part.</w:t>
      </w:r>
    </w:p>
    <w:p w:rsidR="00C747A0" w:rsidRDefault="00BD78BE" w:rsidP="00591AFC">
      <w:pPr>
        <w:pStyle w:val="ListParagraph"/>
        <w:numPr>
          <w:ilvl w:val="0"/>
          <w:numId w:val="4"/>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By wrongfully destroying the goods:</w:t>
      </w:r>
      <w:r>
        <w:rPr>
          <w:rFonts w:ascii="Times New Roman" w:hAnsi="Times New Roman" w:cs="Times New Roman"/>
          <w:sz w:val="24"/>
          <w:szCs w:val="24"/>
          <w:lang w:val="en-GB"/>
        </w:rPr>
        <w:t xml:space="preserve"> Destruction of goods would amount to conversion in the following circumstances:</w:t>
      </w:r>
    </w:p>
    <w:p w:rsidR="00BD78BE" w:rsidRDefault="00BD78BE" w:rsidP="00BD78BE">
      <w:pPr>
        <w:pStyle w:val="ListParagraph"/>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person wilfully destroys the chattel of another</w:t>
      </w:r>
    </w:p>
    <w:p w:rsidR="00BD78BE" w:rsidRDefault="00BD78BE" w:rsidP="00BD78BE">
      <w:pPr>
        <w:pStyle w:val="ListParagraph"/>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the chattel either ceases to exist or changes its identity.</w:t>
      </w:r>
    </w:p>
    <w:p w:rsidR="00BD78BE" w:rsidRDefault="00BD78BE" w:rsidP="00BD78BE">
      <w:pPr>
        <w:pStyle w:val="ListParagraph"/>
        <w:numPr>
          <w:ilvl w:val="0"/>
          <w:numId w:val="4"/>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Wrongfully disposing the goods:</w:t>
      </w:r>
      <w:r>
        <w:rPr>
          <w:rFonts w:ascii="Times New Roman" w:hAnsi="Times New Roman" w:cs="Times New Roman"/>
          <w:sz w:val="24"/>
          <w:szCs w:val="24"/>
          <w:lang w:val="en-GB"/>
        </w:rPr>
        <w:t xml:space="preserve"> this occurs in a situation in which the defendant attempts to confer title to a third party in a manner inconsistent with the right of the person entitled to possession.</w:t>
      </w:r>
    </w:p>
    <w:p w:rsidR="00BD78BE" w:rsidRDefault="00AE7D39" w:rsidP="00BD78BE">
      <w:pPr>
        <w:pStyle w:val="ListParagraph"/>
        <w:numPr>
          <w:ilvl w:val="0"/>
          <w:numId w:val="4"/>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By</w:t>
      </w:r>
      <w:r w:rsidR="00BD78BE" w:rsidRPr="004E4392">
        <w:rPr>
          <w:rFonts w:ascii="Times New Roman" w:hAnsi="Times New Roman" w:cs="Times New Roman"/>
          <w:b/>
          <w:sz w:val="24"/>
          <w:szCs w:val="24"/>
          <w:u w:val="single"/>
          <w:lang w:val="en-GB"/>
        </w:rPr>
        <w:t xml:space="preserve"> wrongfully delivering the goods:</w:t>
      </w:r>
      <w:r w:rsidR="00BD78BE">
        <w:rPr>
          <w:rFonts w:ascii="Times New Roman" w:hAnsi="Times New Roman" w:cs="Times New Roman"/>
          <w:sz w:val="24"/>
          <w:szCs w:val="24"/>
          <w:lang w:val="en-GB"/>
        </w:rPr>
        <w:t xml:space="preserve"> This occurs in a situation which the defendant denies the true owner of the title to the goods by delivering them to another party that has no title.</w:t>
      </w:r>
    </w:p>
    <w:p w:rsidR="007B1CBE" w:rsidRDefault="007B1CBE" w:rsidP="007B1C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w:t>
      </w:r>
      <w:proofErr w:type="spellStart"/>
      <w:r>
        <w:rPr>
          <w:rFonts w:ascii="Times New Roman" w:hAnsi="Times New Roman" w:cs="Times New Roman"/>
          <w:b/>
          <w:i/>
          <w:sz w:val="24"/>
          <w:szCs w:val="24"/>
          <w:lang w:val="en-GB"/>
        </w:rPr>
        <w:t>Hollins</w:t>
      </w:r>
      <w:proofErr w:type="spellEnd"/>
      <w:r>
        <w:rPr>
          <w:rFonts w:ascii="Times New Roman" w:hAnsi="Times New Roman" w:cs="Times New Roman"/>
          <w:b/>
          <w:i/>
          <w:sz w:val="24"/>
          <w:szCs w:val="24"/>
          <w:lang w:val="en-GB"/>
        </w:rPr>
        <w:t xml:space="preserve"> V. Fowler</w:t>
      </w:r>
      <w:r>
        <w:rPr>
          <w:rStyle w:val="FootnoteReference"/>
          <w:rFonts w:ascii="Times New Roman" w:hAnsi="Times New Roman" w:cs="Times New Roman"/>
          <w:b/>
          <w:i/>
          <w:sz w:val="24"/>
          <w:szCs w:val="24"/>
          <w:lang w:val="en-GB"/>
        </w:rPr>
        <w:footnoteReference w:id="7"/>
      </w:r>
      <w:r>
        <w:rPr>
          <w:rFonts w:ascii="Times New Roman" w:hAnsi="Times New Roman" w:cs="Times New Roman"/>
          <w:b/>
          <w:i/>
          <w:sz w:val="24"/>
          <w:szCs w:val="24"/>
          <w:lang w:val="en-GB"/>
        </w:rPr>
        <w:t xml:space="preserve">, </w:t>
      </w:r>
      <w:r>
        <w:rPr>
          <w:rFonts w:ascii="Times New Roman" w:hAnsi="Times New Roman" w:cs="Times New Roman"/>
          <w:sz w:val="24"/>
          <w:szCs w:val="24"/>
          <w:lang w:val="en-GB"/>
        </w:rPr>
        <w:t xml:space="preserve">cotton broker acting on behalf of a client, for whom he often made purchases, bought cotton from fraudster who had no title to the cotton. The broken then sold it to his client and received only his commission. At the suit of the true owner for conversion sale and loss of the goods. The court held that the broker was liable in conversion </w:t>
      </w:r>
      <w:r w:rsidR="004E4392">
        <w:rPr>
          <w:rFonts w:ascii="Times New Roman" w:hAnsi="Times New Roman" w:cs="Times New Roman"/>
          <w:sz w:val="24"/>
          <w:szCs w:val="24"/>
          <w:lang w:val="en-GB"/>
        </w:rPr>
        <w:t>for the full value of the goods.</w:t>
      </w:r>
    </w:p>
    <w:p w:rsidR="004E4392" w:rsidRPr="004E4392" w:rsidRDefault="004E4392" w:rsidP="00046693">
      <w:pPr>
        <w:spacing w:line="360" w:lineRule="auto"/>
        <w:jc w:val="center"/>
        <w:rPr>
          <w:rFonts w:ascii="Times New Roman" w:hAnsi="Times New Roman" w:cs="Times New Roman"/>
          <w:b/>
          <w:sz w:val="24"/>
          <w:szCs w:val="24"/>
          <w:u w:val="single"/>
          <w:lang w:val="en-GB"/>
        </w:rPr>
      </w:pPr>
      <w:r w:rsidRPr="004E4392">
        <w:rPr>
          <w:rFonts w:ascii="Times New Roman" w:hAnsi="Times New Roman" w:cs="Times New Roman"/>
          <w:b/>
          <w:sz w:val="24"/>
          <w:szCs w:val="24"/>
          <w:u w:val="single"/>
          <w:lang w:val="en-GB"/>
        </w:rPr>
        <w:t>Defences of Conversion</w:t>
      </w:r>
    </w:p>
    <w:p w:rsidR="004E4392" w:rsidRDefault="004E4392" w:rsidP="004E4392">
      <w:pPr>
        <w:spacing w:line="360" w:lineRule="auto"/>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In an action for conve</w:t>
      </w:r>
      <w:r>
        <w:rPr>
          <w:rFonts w:ascii="Times New Roman" w:hAnsi="Times New Roman" w:cs="Times New Roman"/>
          <w:sz w:val="24"/>
          <w:szCs w:val="24"/>
          <w:lang w:val="en-GB"/>
        </w:rPr>
        <w:t>rsion, the defendant may plead;</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1.)</w:t>
      </w:r>
      <w:r w:rsidRPr="004E4392">
        <w:rPr>
          <w:rFonts w:ascii="Times New Roman" w:hAnsi="Times New Roman" w:cs="Times New Roman"/>
          <w:sz w:val="24"/>
          <w:szCs w:val="24"/>
          <w:lang w:val="en-GB"/>
        </w:rPr>
        <w:tab/>
      </w:r>
      <w:r w:rsidRPr="004E4392">
        <w:rPr>
          <w:rFonts w:ascii="Times New Roman" w:hAnsi="Times New Roman" w:cs="Times New Roman"/>
          <w:b/>
          <w:sz w:val="24"/>
          <w:szCs w:val="24"/>
          <w:u w:val="single"/>
          <w:lang w:val="en-GB"/>
        </w:rPr>
        <w:t>Abandonment:</w:t>
      </w:r>
      <w:r w:rsidRPr="004E4392">
        <w:rPr>
          <w:rFonts w:ascii="Times New Roman" w:hAnsi="Times New Roman" w:cs="Times New Roman"/>
          <w:sz w:val="24"/>
          <w:szCs w:val="24"/>
          <w:lang w:val="en-GB"/>
        </w:rPr>
        <w:t xml:space="preserve"> an action for conversion would not succeed in a situation in which the property in question was abandoned by the claimant. The abandonment should be demonstrated as the intent of the former owner. Also, there should be a reasonable time between abandonment and the possession by the new owner.</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2.)</w:t>
      </w:r>
      <w:r w:rsidRPr="004E4392">
        <w:rPr>
          <w:rFonts w:ascii="Times New Roman" w:hAnsi="Times New Roman" w:cs="Times New Roman"/>
          <w:sz w:val="24"/>
          <w:szCs w:val="24"/>
          <w:lang w:val="en-GB"/>
        </w:rPr>
        <w:tab/>
      </w:r>
      <w:r w:rsidRPr="004E4392">
        <w:rPr>
          <w:rFonts w:ascii="Times New Roman" w:hAnsi="Times New Roman" w:cs="Times New Roman"/>
          <w:b/>
          <w:sz w:val="24"/>
          <w:szCs w:val="24"/>
          <w:u w:val="single"/>
          <w:lang w:val="en-GB"/>
        </w:rPr>
        <w:t>Authority of Law:</w:t>
      </w:r>
      <w:r w:rsidRPr="004E4392">
        <w:rPr>
          <w:rFonts w:ascii="Times New Roman" w:hAnsi="Times New Roman" w:cs="Times New Roman"/>
          <w:sz w:val="24"/>
          <w:szCs w:val="24"/>
          <w:lang w:val="en-GB"/>
        </w:rPr>
        <w:t xml:space="preserve"> conversion that is done under the authority of law would be justified. For example, the selling of goods of a defendant by the claimant by an order of court in order to get a judgement debt would be valid.</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3.)</w:t>
      </w:r>
      <w:r w:rsidRPr="004E4392">
        <w:rPr>
          <w:rFonts w:ascii="Times New Roman" w:hAnsi="Times New Roman" w:cs="Times New Roman"/>
          <w:sz w:val="24"/>
          <w:szCs w:val="24"/>
          <w:lang w:val="en-GB"/>
        </w:rPr>
        <w:tab/>
      </w:r>
      <w:r w:rsidRPr="004E4392">
        <w:rPr>
          <w:rFonts w:ascii="Times New Roman" w:hAnsi="Times New Roman" w:cs="Times New Roman"/>
          <w:b/>
          <w:sz w:val="24"/>
          <w:szCs w:val="24"/>
          <w:u w:val="single"/>
          <w:lang w:val="en-GB"/>
        </w:rPr>
        <w:t>Consent:</w:t>
      </w:r>
      <w:r w:rsidRPr="004E4392">
        <w:rPr>
          <w:rFonts w:ascii="Times New Roman" w:hAnsi="Times New Roman" w:cs="Times New Roman"/>
          <w:sz w:val="24"/>
          <w:szCs w:val="24"/>
          <w:lang w:val="en-GB"/>
        </w:rPr>
        <w:t xml:space="preserve"> if the owner of the goods consented to the action of the defendant in converting the goods, the conversion would be held to be valid.</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4.)</w:t>
      </w:r>
      <w:r w:rsidRPr="004E4392">
        <w:rPr>
          <w:rFonts w:ascii="Times New Roman" w:hAnsi="Times New Roman" w:cs="Times New Roman"/>
          <w:sz w:val="24"/>
          <w:szCs w:val="24"/>
          <w:lang w:val="en-GB"/>
        </w:rPr>
        <w:tab/>
      </w:r>
      <w:r w:rsidRPr="004E4392">
        <w:rPr>
          <w:rFonts w:ascii="Times New Roman" w:hAnsi="Times New Roman" w:cs="Times New Roman"/>
          <w:b/>
          <w:sz w:val="24"/>
          <w:szCs w:val="24"/>
          <w:u w:val="single"/>
          <w:lang w:val="en-GB"/>
        </w:rPr>
        <w:t>Statute of limitations:</w:t>
      </w:r>
      <w:r w:rsidRPr="004E4392">
        <w:rPr>
          <w:rFonts w:ascii="Times New Roman" w:hAnsi="Times New Roman" w:cs="Times New Roman"/>
          <w:sz w:val="24"/>
          <w:szCs w:val="24"/>
          <w:lang w:val="en-GB"/>
        </w:rPr>
        <w:t xml:space="preserve"> if the suit for conversion is not field after a specified period (ranging from 2-5 years), it would be held to be statute barred. Thus, the suit would not be heard by the court.</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5.)</w:t>
      </w:r>
      <w:r w:rsidRPr="004E4392">
        <w:rPr>
          <w:rFonts w:ascii="Times New Roman" w:hAnsi="Times New Roman" w:cs="Times New Roman"/>
          <w:sz w:val="24"/>
          <w:szCs w:val="24"/>
          <w:lang w:val="en-GB"/>
        </w:rPr>
        <w:tab/>
      </w:r>
      <w:r w:rsidRPr="004E4392">
        <w:rPr>
          <w:rFonts w:ascii="Times New Roman" w:hAnsi="Times New Roman" w:cs="Times New Roman"/>
          <w:b/>
          <w:sz w:val="24"/>
          <w:szCs w:val="24"/>
          <w:u w:val="single"/>
          <w:lang w:val="en-GB"/>
        </w:rPr>
        <w:t xml:space="preserve">Unidentifiable property: </w:t>
      </w:r>
      <w:r w:rsidRPr="004E4392">
        <w:rPr>
          <w:rFonts w:ascii="Times New Roman" w:hAnsi="Times New Roman" w:cs="Times New Roman"/>
          <w:sz w:val="24"/>
          <w:szCs w:val="24"/>
          <w:lang w:val="en-GB"/>
        </w:rPr>
        <w:t>if the property cannot be properly identified, it could also serve as a defence of conversion.</w:t>
      </w:r>
    </w:p>
    <w:p w:rsidR="004E4392" w:rsidRPr="004E4392" w:rsidRDefault="004E4392" w:rsidP="004E4392">
      <w:pPr>
        <w:spacing w:line="360" w:lineRule="auto"/>
        <w:jc w:val="center"/>
        <w:rPr>
          <w:rFonts w:ascii="Times New Roman" w:hAnsi="Times New Roman" w:cs="Times New Roman"/>
          <w:b/>
          <w:sz w:val="24"/>
          <w:szCs w:val="24"/>
          <w:u w:val="single"/>
          <w:lang w:val="en-GB"/>
        </w:rPr>
      </w:pPr>
      <w:r w:rsidRPr="004E4392">
        <w:rPr>
          <w:rFonts w:ascii="Times New Roman" w:hAnsi="Times New Roman" w:cs="Times New Roman"/>
          <w:b/>
          <w:sz w:val="24"/>
          <w:szCs w:val="24"/>
          <w:u w:val="single"/>
          <w:lang w:val="en-GB"/>
        </w:rPr>
        <w:t>The remedies for conversion</w:t>
      </w:r>
    </w:p>
    <w:p w:rsidR="004E4392" w:rsidRPr="004E4392" w:rsidRDefault="004E4392" w:rsidP="004E4392">
      <w:pPr>
        <w:spacing w:line="360" w:lineRule="auto"/>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ab/>
        <w:t>In a claim for the conversion of a chattel several remedies are available to a plaintiff. The court in its judgement may order any, or a combination of any of the following reliefs:</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1.)</w:t>
      </w:r>
      <w:r w:rsidRPr="004E4392">
        <w:rPr>
          <w:rFonts w:ascii="Times New Roman" w:hAnsi="Times New Roman" w:cs="Times New Roman"/>
          <w:sz w:val="24"/>
          <w:szCs w:val="24"/>
          <w:lang w:val="en-GB"/>
        </w:rPr>
        <w:tab/>
        <w:t>Alternative order for payment of the current market value of the chattel</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lastRenderedPageBreak/>
        <w:t>2.)</w:t>
      </w:r>
      <w:r w:rsidRPr="004E4392">
        <w:rPr>
          <w:rFonts w:ascii="Times New Roman" w:hAnsi="Times New Roman" w:cs="Times New Roman"/>
          <w:sz w:val="24"/>
          <w:szCs w:val="24"/>
          <w:lang w:val="en-GB"/>
        </w:rPr>
        <w:tab/>
        <w:t>An order for payment of any consequential damages.</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3.)</w:t>
      </w:r>
      <w:r w:rsidRPr="004E4392">
        <w:rPr>
          <w:rFonts w:ascii="Times New Roman" w:hAnsi="Times New Roman" w:cs="Times New Roman"/>
          <w:sz w:val="24"/>
          <w:szCs w:val="24"/>
          <w:lang w:val="en-GB"/>
        </w:rPr>
        <w:tab/>
        <w:t>Recovery of special and general damages</w:t>
      </w:r>
    </w:p>
    <w:p w:rsid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4.)</w:t>
      </w:r>
      <w:r w:rsidRPr="004E4392">
        <w:rPr>
          <w:rFonts w:ascii="Times New Roman" w:hAnsi="Times New Roman" w:cs="Times New Roman"/>
          <w:sz w:val="24"/>
          <w:szCs w:val="24"/>
          <w:lang w:val="en-GB"/>
        </w:rPr>
        <w:tab/>
        <w:t>Order for delivery, return or specific restitution of the goods.</w:t>
      </w:r>
    </w:p>
    <w:p w:rsidR="004E4392" w:rsidRPr="004E4392" w:rsidRDefault="004E4392" w:rsidP="004E4392">
      <w:pPr>
        <w:spacing w:line="360" w:lineRule="auto"/>
        <w:jc w:val="center"/>
        <w:rPr>
          <w:rFonts w:ascii="Times New Roman" w:hAnsi="Times New Roman" w:cs="Times New Roman"/>
          <w:b/>
          <w:sz w:val="24"/>
          <w:szCs w:val="24"/>
          <w:u w:val="single"/>
          <w:lang w:val="en-GB"/>
        </w:rPr>
      </w:pPr>
      <w:proofErr w:type="gramStart"/>
      <w:r w:rsidRPr="004E4392">
        <w:rPr>
          <w:rFonts w:ascii="Times New Roman" w:hAnsi="Times New Roman" w:cs="Times New Roman"/>
          <w:b/>
          <w:sz w:val="24"/>
          <w:szCs w:val="24"/>
          <w:u w:val="single"/>
          <w:lang w:val="en-GB"/>
        </w:rPr>
        <w:t>Differences between trespass to chattel and conversion.</w:t>
      </w:r>
      <w:proofErr w:type="gramEnd"/>
    </w:p>
    <w:p w:rsidR="004E4392" w:rsidRPr="004E4392" w:rsidRDefault="004E4392" w:rsidP="004E4392">
      <w:pPr>
        <w:spacing w:line="360" w:lineRule="auto"/>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 xml:space="preserve">It’s often easy to confuse trespass to chattels with conversion because they both deal with interfering personal property. </w:t>
      </w:r>
    </w:p>
    <w:p w:rsidR="004E4392" w:rsidRPr="004E4392"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1.)</w:t>
      </w:r>
      <w:r w:rsidRPr="004E4392">
        <w:rPr>
          <w:rFonts w:ascii="Times New Roman" w:hAnsi="Times New Roman" w:cs="Times New Roman"/>
          <w:sz w:val="24"/>
          <w:szCs w:val="24"/>
          <w:lang w:val="en-GB"/>
        </w:rPr>
        <w:tab/>
        <w:t xml:space="preserve"> The main difference between trespass to chattels and conversion is the degree of interference. Conversion occurs when a person uses or alters a piece of personal property belonging to someone else without consent. The degree of interference for conversion must be serious that the </w:t>
      </w:r>
      <w:proofErr w:type="spellStart"/>
      <w:r w:rsidRPr="004E4392">
        <w:rPr>
          <w:rFonts w:ascii="Times New Roman" w:hAnsi="Times New Roman" w:cs="Times New Roman"/>
          <w:sz w:val="24"/>
          <w:szCs w:val="24"/>
          <w:lang w:val="en-GB"/>
        </w:rPr>
        <w:t>tortfeasor</w:t>
      </w:r>
      <w:proofErr w:type="spellEnd"/>
      <w:r w:rsidRPr="004E4392">
        <w:rPr>
          <w:rFonts w:ascii="Times New Roman" w:hAnsi="Times New Roman" w:cs="Times New Roman"/>
          <w:sz w:val="24"/>
          <w:szCs w:val="24"/>
          <w:lang w:val="en-GB"/>
        </w:rPr>
        <w:t xml:space="preserve"> may be required to pay the full value of the property.in trespass to chattel; the </w:t>
      </w:r>
      <w:proofErr w:type="spellStart"/>
      <w:r w:rsidRPr="004E4392">
        <w:rPr>
          <w:rFonts w:ascii="Times New Roman" w:hAnsi="Times New Roman" w:cs="Times New Roman"/>
          <w:sz w:val="24"/>
          <w:szCs w:val="24"/>
          <w:lang w:val="en-GB"/>
        </w:rPr>
        <w:t>tortfeasor</w:t>
      </w:r>
      <w:proofErr w:type="spellEnd"/>
      <w:r w:rsidRPr="004E4392">
        <w:rPr>
          <w:rFonts w:ascii="Times New Roman" w:hAnsi="Times New Roman" w:cs="Times New Roman"/>
          <w:sz w:val="24"/>
          <w:szCs w:val="24"/>
          <w:lang w:val="en-GB"/>
        </w:rPr>
        <w:t xml:space="preserve"> is responsible only to the extent of the damage done from intermeddling with a chattel in the possession of another or damaging the chattel.</w:t>
      </w:r>
    </w:p>
    <w:p w:rsidR="004E4392" w:rsidRPr="007B1CBE" w:rsidRDefault="004E4392" w:rsidP="004E4392">
      <w:pPr>
        <w:spacing w:line="360" w:lineRule="auto"/>
        <w:ind w:firstLine="720"/>
        <w:jc w:val="both"/>
        <w:rPr>
          <w:rFonts w:ascii="Times New Roman" w:hAnsi="Times New Roman" w:cs="Times New Roman"/>
          <w:sz w:val="24"/>
          <w:szCs w:val="24"/>
          <w:lang w:val="en-GB"/>
        </w:rPr>
      </w:pPr>
      <w:r w:rsidRPr="004E4392">
        <w:rPr>
          <w:rFonts w:ascii="Times New Roman" w:hAnsi="Times New Roman" w:cs="Times New Roman"/>
          <w:sz w:val="24"/>
          <w:szCs w:val="24"/>
          <w:lang w:val="en-GB"/>
        </w:rPr>
        <w:t>2.)</w:t>
      </w:r>
      <w:r w:rsidRPr="004E4392">
        <w:rPr>
          <w:rFonts w:ascii="Times New Roman" w:hAnsi="Times New Roman" w:cs="Times New Roman"/>
          <w:sz w:val="24"/>
          <w:szCs w:val="24"/>
          <w:lang w:val="en-GB"/>
        </w:rPr>
        <w:tab/>
        <w:t>In conversion, the conduct of the defendant must deprive the owners of the possession of the chattel, or amount to a denial or dispute of the title of the owner. Therefore, mere touching or moving of a chattel and so forth only amount to trespass.</w:t>
      </w:r>
    </w:p>
    <w:p w:rsidR="00BD78BE" w:rsidRPr="00BF71AF" w:rsidRDefault="00BD78BE" w:rsidP="004E4392">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Definition of Detinue:</w:t>
      </w:r>
    </w:p>
    <w:p w:rsidR="00BD78BE" w:rsidRDefault="00307A86" w:rsidP="00BD78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Detinue is defined as the wrongful detention of goods, committed when one unreasonably refuses surrender or return personal property to its rightful owner, only if and when the owner claims the immediate right to possession of these goods. Detinue is only applicable, however, when the owner holds proprietary interest and or actual possession of the property. Detinue is also a tort that can only be committed against a good, rather than property. When someone commits the tort of detinue, they are considered to be wrongfully withholding goods from a person that has an immediate right of possession. In the case of </w:t>
      </w:r>
      <w:proofErr w:type="spellStart"/>
      <w:r>
        <w:rPr>
          <w:rFonts w:ascii="Times New Roman" w:hAnsi="Times New Roman" w:cs="Times New Roman"/>
          <w:b/>
          <w:i/>
          <w:sz w:val="24"/>
          <w:szCs w:val="24"/>
          <w:lang w:val="en-GB"/>
        </w:rPr>
        <w:t>Kosile</w:t>
      </w:r>
      <w:proofErr w:type="spellEnd"/>
      <w:r>
        <w:rPr>
          <w:rFonts w:ascii="Times New Roman" w:hAnsi="Times New Roman" w:cs="Times New Roman"/>
          <w:b/>
          <w:i/>
          <w:sz w:val="24"/>
          <w:szCs w:val="24"/>
          <w:lang w:val="en-GB"/>
        </w:rPr>
        <w:t xml:space="preserve"> V. </w:t>
      </w:r>
      <w:proofErr w:type="spellStart"/>
      <w:r>
        <w:rPr>
          <w:rFonts w:ascii="Times New Roman" w:hAnsi="Times New Roman" w:cs="Times New Roman"/>
          <w:b/>
          <w:i/>
          <w:sz w:val="24"/>
          <w:szCs w:val="24"/>
          <w:lang w:val="en-GB"/>
        </w:rPr>
        <w:t>Folarin</w:t>
      </w:r>
      <w:proofErr w:type="spellEnd"/>
      <w:r>
        <w:rPr>
          <w:rStyle w:val="FootnoteReference"/>
          <w:rFonts w:ascii="Times New Roman" w:hAnsi="Times New Roman" w:cs="Times New Roman"/>
          <w:b/>
          <w:i/>
          <w:sz w:val="24"/>
          <w:szCs w:val="24"/>
          <w:lang w:val="en-GB"/>
        </w:rPr>
        <w:footnoteReference w:id="8"/>
      </w:r>
      <w:r>
        <w:rPr>
          <w:rFonts w:ascii="Times New Roman" w:hAnsi="Times New Roman" w:cs="Times New Roman"/>
          <w:sz w:val="24"/>
          <w:szCs w:val="24"/>
          <w:lang w:val="en-GB"/>
        </w:rPr>
        <w:t>, the Supreme Court emphasised the requirement that in an action for detinue, there must have been a demand by the plaintiff on the defendant to return the chattel, and if the defendant persists in keeping the chattel, he is liable for detinue.</w:t>
      </w:r>
    </w:p>
    <w:p w:rsidR="00307A86" w:rsidRDefault="00307A86" w:rsidP="00BD78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A052EA">
        <w:rPr>
          <w:rFonts w:ascii="Times New Roman" w:hAnsi="Times New Roman" w:cs="Times New Roman"/>
          <w:sz w:val="24"/>
          <w:szCs w:val="24"/>
          <w:lang w:val="en-GB"/>
        </w:rPr>
        <w:t xml:space="preserve">In </w:t>
      </w:r>
      <w:proofErr w:type="spellStart"/>
      <w:r w:rsidR="00A052EA">
        <w:rPr>
          <w:rFonts w:ascii="Times New Roman" w:hAnsi="Times New Roman" w:cs="Times New Roman"/>
          <w:b/>
          <w:i/>
          <w:sz w:val="24"/>
          <w:szCs w:val="24"/>
          <w:lang w:val="en-GB"/>
        </w:rPr>
        <w:t>Ogiugo</w:t>
      </w:r>
      <w:proofErr w:type="spellEnd"/>
      <w:r w:rsidR="00A052EA">
        <w:rPr>
          <w:rFonts w:ascii="Times New Roman" w:hAnsi="Times New Roman" w:cs="Times New Roman"/>
          <w:b/>
          <w:i/>
          <w:sz w:val="24"/>
          <w:szCs w:val="24"/>
          <w:lang w:val="en-GB"/>
        </w:rPr>
        <w:t xml:space="preserve"> &amp; Sons Ltd V. C.O.P</w:t>
      </w:r>
      <w:r w:rsidR="00A052EA">
        <w:rPr>
          <w:rStyle w:val="FootnoteReference"/>
          <w:rFonts w:ascii="Times New Roman" w:hAnsi="Times New Roman" w:cs="Times New Roman"/>
          <w:b/>
          <w:i/>
          <w:sz w:val="24"/>
          <w:szCs w:val="24"/>
          <w:lang w:val="en-GB"/>
        </w:rPr>
        <w:footnoteReference w:id="9"/>
      </w:r>
      <w:r w:rsidR="00A052EA">
        <w:rPr>
          <w:rFonts w:ascii="Times New Roman" w:hAnsi="Times New Roman" w:cs="Times New Roman"/>
          <w:sz w:val="24"/>
          <w:szCs w:val="24"/>
          <w:lang w:val="en-GB"/>
        </w:rPr>
        <w:t>, the lorry of the plaintiff appellant transporter was carrying customer’s goods, when the police intercepted and sized the vehicle on suspicion that the goods were contraband. Representations for its release failed to yield result. The appellant claimed for detinue of the goods of the vehicle. The Court of Appeal held that the appellant was entitled to the immediate release of the vehicle and damages for its unlawful detention. The plaintiff must have title or right to immediate possession to be able to sue successfully for detinue.</w:t>
      </w:r>
    </w:p>
    <w:p w:rsidR="00A052EA" w:rsidRDefault="00A052EA" w:rsidP="00BD78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 plaintiff can only maintain action for the tort of detinue afte</w:t>
      </w:r>
      <w:r w:rsidR="0027783D">
        <w:rPr>
          <w:rFonts w:ascii="Times New Roman" w:hAnsi="Times New Roman" w:cs="Times New Roman"/>
          <w:sz w:val="24"/>
          <w:szCs w:val="24"/>
          <w:lang w:val="en-GB"/>
        </w:rPr>
        <w:t>r satisfying the two conditions</w:t>
      </w:r>
      <w:r>
        <w:rPr>
          <w:rFonts w:ascii="Times New Roman" w:hAnsi="Times New Roman" w:cs="Times New Roman"/>
          <w:sz w:val="24"/>
          <w:szCs w:val="24"/>
          <w:lang w:val="en-GB"/>
        </w:rPr>
        <w:t xml:space="preserve"> which are:</w:t>
      </w:r>
    </w:p>
    <w:p w:rsidR="00A052EA" w:rsidRDefault="00A052EA" w:rsidP="00A052EA">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plaintiff must have title that is ownership or right to immediate possession of the chattel.</w:t>
      </w:r>
    </w:p>
    <w:p w:rsidR="00A052EA" w:rsidRPr="00A052EA" w:rsidRDefault="00A052EA" w:rsidP="00A052EA">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defendant who is in actual possession of the chattel must have </w:t>
      </w:r>
      <w:r w:rsidR="0027783D">
        <w:rPr>
          <w:rFonts w:ascii="Times New Roman" w:hAnsi="Times New Roman" w:cs="Times New Roman"/>
          <w:sz w:val="24"/>
          <w:szCs w:val="24"/>
          <w:lang w:val="en-GB"/>
        </w:rPr>
        <w:t>failed</w:t>
      </w:r>
      <w:r>
        <w:rPr>
          <w:rFonts w:ascii="Times New Roman" w:hAnsi="Times New Roman" w:cs="Times New Roman"/>
          <w:sz w:val="24"/>
          <w:szCs w:val="24"/>
          <w:lang w:val="en-GB"/>
        </w:rPr>
        <w:t xml:space="preserve"> </w:t>
      </w:r>
      <w:r w:rsidR="0027783D">
        <w:rPr>
          <w:rFonts w:ascii="Times New Roman" w:hAnsi="Times New Roman" w:cs="Times New Roman"/>
          <w:sz w:val="24"/>
          <w:szCs w:val="24"/>
          <w:lang w:val="en-GB"/>
        </w:rPr>
        <w:t>and</w:t>
      </w:r>
      <w:r>
        <w:rPr>
          <w:rFonts w:ascii="Times New Roman" w:hAnsi="Times New Roman" w:cs="Times New Roman"/>
          <w:sz w:val="24"/>
          <w:szCs w:val="24"/>
          <w:lang w:val="en-GB"/>
        </w:rPr>
        <w:t xml:space="preserve"> or refused to deliver the chattel to the plaintiff after the plaintiff has made a proper demand for the return of the chattel, without </w:t>
      </w:r>
      <w:r w:rsidR="0027783D">
        <w:rPr>
          <w:rFonts w:ascii="Times New Roman" w:hAnsi="Times New Roman" w:cs="Times New Roman"/>
          <w:sz w:val="24"/>
          <w:szCs w:val="24"/>
          <w:lang w:val="en-GB"/>
        </w:rPr>
        <w:t>lawful excuse.</w:t>
      </w:r>
    </w:p>
    <w:p w:rsidR="00BD78BE" w:rsidRPr="00BF71AF" w:rsidRDefault="00EC0967" w:rsidP="004E4392">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Innocent receipt or delivery is not conversion</w:t>
      </w:r>
    </w:p>
    <w:p w:rsidR="00EC0967" w:rsidRDefault="00EC0967" w:rsidP="00BD78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Innocent delivery or innocent receipt is neither torts nor criminal offences. Thus, innocent delivery is not conversion. Therefore, where an innocent holder of goods such as a carrier, or warehouseman, receives goods in good faith from a person he believes to have lawful possession of them and he delivers them, </w:t>
      </w:r>
      <w:r w:rsidR="00F33E1D">
        <w:rPr>
          <w:rFonts w:ascii="Times New Roman" w:hAnsi="Times New Roman" w:cs="Times New Roman"/>
          <w:sz w:val="24"/>
          <w:szCs w:val="24"/>
          <w:lang w:val="en-GB"/>
        </w:rPr>
        <w:t>on the person’s instruction to a third party in good faith, there would be no conversion. Similarly, an innocent receipt of goods is not conversion. However, the receiver must not wilfully damage or destroy the goods unless the goods constitute a nuisance.</w:t>
      </w:r>
      <w:r>
        <w:rPr>
          <w:rFonts w:ascii="Times New Roman" w:hAnsi="Times New Roman" w:cs="Times New Roman"/>
          <w:sz w:val="24"/>
          <w:szCs w:val="24"/>
          <w:lang w:val="en-GB"/>
        </w:rPr>
        <w:t xml:space="preserve"> </w:t>
      </w:r>
      <w:r w:rsidR="00F33E1D">
        <w:rPr>
          <w:rFonts w:ascii="Times New Roman" w:hAnsi="Times New Roman" w:cs="Times New Roman"/>
          <w:sz w:val="24"/>
          <w:szCs w:val="24"/>
          <w:lang w:val="en-GB"/>
        </w:rPr>
        <w:t xml:space="preserve">In </w:t>
      </w:r>
      <w:proofErr w:type="spellStart"/>
      <w:r w:rsidR="00F33E1D">
        <w:rPr>
          <w:rFonts w:ascii="Times New Roman" w:hAnsi="Times New Roman" w:cs="Times New Roman"/>
          <w:b/>
          <w:i/>
          <w:sz w:val="24"/>
          <w:szCs w:val="24"/>
          <w:lang w:val="en-GB"/>
        </w:rPr>
        <w:t>Unipetrol</w:t>
      </w:r>
      <w:proofErr w:type="spellEnd"/>
      <w:r w:rsidR="00F33E1D">
        <w:rPr>
          <w:rFonts w:ascii="Times New Roman" w:hAnsi="Times New Roman" w:cs="Times New Roman"/>
          <w:b/>
          <w:i/>
          <w:sz w:val="24"/>
          <w:szCs w:val="24"/>
          <w:lang w:val="en-GB"/>
        </w:rPr>
        <w:t xml:space="preserve"> V. Prima Tankers Ltd</w:t>
      </w:r>
      <w:r w:rsidR="00F33E1D">
        <w:rPr>
          <w:rStyle w:val="FootnoteReference"/>
          <w:rFonts w:ascii="Times New Roman" w:hAnsi="Times New Roman" w:cs="Times New Roman"/>
          <w:b/>
          <w:i/>
          <w:sz w:val="24"/>
          <w:szCs w:val="24"/>
          <w:lang w:val="en-GB"/>
        </w:rPr>
        <w:footnoteReference w:id="10"/>
      </w:r>
      <w:r w:rsidR="00F33E1D">
        <w:rPr>
          <w:rFonts w:ascii="Times New Roman" w:hAnsi="Times New Roman" w:cs="Times New Roman"/>
          <w:b/>
          <w:i/>
          <w:sz w:val="24"/>
          <w:szCs w:val="24"/>
          <w:lang w:val="en-GB"/>
        </w:rPr>
        <w:t xml:space="preserve">, </w:t>
      </w:r>
      <w:r w:rsidR="00F33E1D">
        <w:rPr>
          <w:rFonts w:ascii="Times New Roman" w:hAnsi="Times New Roman" w:cs="Times New Roman"/>
          <w:sz w:val="24"/>
          <w:szCs w:val="24"/>
          <w:lang w:val="en-GB"/>
        </w:rPr>
        <w:t xml:space="preserve">the defendant’s oil tanker owner had a contract to carry </w:t>
      </w:r>
      <w:proofErr w:type="spellStart"/>
      <w:r w:rsidR="00F33E1D">
        <w:rPr>
          <w:rFonts w:ascii="Times New Roman" w:hAnsi="Times New Roman" w:cs="Times New Roman"/>
          <w:sz w:val="24"/>
          <w:szCs w:val="24"/>
          <w:lang w:val="en-GB"/>
        </w:rPr>
        <w:t>Unipetrol’s</w:t>
      </w:r>
      <w:proofErr w:type="spellEnd"/>
      <w:r w:rsidR="00F33E1D">
        <w:rPr>
          <w:rFonts w:ascii="Times New Roman" w:hAnsi="Times New Roman" w:cs="Times New Roman"/>
          <w:sz w:val="24"/>
          <w:szCs w:val="24"/>
          <w:lang w:val="en-GB"/>
        </w:rPr>
        <w:t xml:space="preserve"> cargo of fuel to Port Harcourt. The captain of the vessel allegedly went elsewhere with the cargo of fuel. The plaintiff appellant </w:t>
      </w:r>
      <w:proofErr w:type="spellStart"/>
      <w:r w:rsidR="00F33E1D">
        <w:rPr>
          <w:rFonts w:ascii="Times New Roman" w:hAnsi="Times New Roman" w:cs="Times New Roman"/>
          <w:sz w:val="24"/>
          <w:szCs w:val="24"/>
          <w:lang w:val="en-GB"/>
        </w:rPr>
        <w:t>Unipetrol</w:t>
      </w:r>
      <w:proofErr w:type="spellEnd"/>
      <w:r w:rsidR="00F33E1D">
        <w:rPr>
          <w:rFonts w:ascii="Times New Roman" w:hAnsi="Times New Roman" w:cs="Times New Roman"/>
          <w:sz w:val="24"/>
          <w:szCs w:val="24"/>
          <w:lang w:val="en-GB"/>
        </w:rPr>
        <w:t xml:space="preserve"> sued for the conversion and the loss of the cargo. The Court Of Appeal held that the respondents were liable in conversion.</w:t>
      </w:r>
    </w:p>
    <w:p w:rsidR="00F33E1D" w:rsidRDefault="00F33E1D" w:rsidP="00BD78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In conversion, negligence or intention is not relevant, and once the dealing with the chattel of another person is in such circumstances that the owner is deprived of its use and possession, the tort is committed.</w:t>
      </w:r>
    </w:p>
    <w:p w:rsidR="000F3C98" w:rsidRPr="00BF71AF" w:rsidRDefault="000F3C98" w:rsidP="004E4392">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The lost property rules</w:t>
      </w:r>
    </w:p>
    <w:p w:rsidR="000F3C98" w:rsidRDefault="000F3C98" w:rsidP="00BD78B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rules of law applicable to finding a lost property were authoritatively settled by the English Court of Appeal in the case of </w:t>
      </w:r>
      <w:r w:rsidRPr="00A9342C">
        <w:rPr>
          <w:rFonts w:ascii="Times New Roman" w:hAnsi="Times New Roman" w:cs="Times New Roman"/>
          <w:b/>
          <w:i/>
          <w:sz w:val="24"/>
          <w:szCs w:val="24"/>
          <w:lang w:val="en-GB"/>
        </w:rPr>
        <w:t xml:space="preserve">Parker V. </w:t>
      </w:r>
      <w:r w:rsidR="00AA7BAA" w:rsidRPr="00A9342C">
        <w:rPr>
          <w:rFonts w:ascii="Times New Roman" w:hAnsi="Times New Roman" w:cs="Times New Roman"/>
          <w:b/>
          <w:i/>
          <w:sz w:val="24"/>
          <w:szCs w:val="24"/>
          <w:lang w:val="en-GB"/>
        </w:rPr>
        <w:t>British Airways</w:t>
      </w:r>
      <w:r w:rsidR="00A9342C">
        <w:rPr>
          <w:rStyle w:val="FootnoteReference"/>
          <w:rFonts w:ascii="Times New Roman" w:hAnsi="Times New Roman" w:cs="Times New Roman"/>
          <w:b/>
          <w:i/>
          <w:sz w:val="24"/>
          <w:szCs w:val="24"/>
          <w:lang w:val="en-GB"/>
        </w:rPr>
        <w:footnoteReference w:id="11"/>
      </w:r>
      <w:r w:rsidR="00A9342C">
        <w:rPr>
          <w:rFonts w:ascii="Times New Roman" w:hAnsi="Times New Roman" w:cs="Times New Roman"/>
          <w:b/>
          <w:i/>
          <w:sz w:val="24"/>
          <w:szCs w:val="24"/>
          <w:lang w:val="en-GB"/>
        </w:rPr>
        <w:t xml:space="preserve">. </w:t>
      </w:r>
      <w:r w:rsidR="00A9342C">
        <w:rPr>
          <w:rFonts w:ascii="Times New Roman" w:hAnsi="Times New Roman" w:cs="Times New Roman"/>
          <w:sz w:val="24"/>
          <w:szCs w:val="24"/>
          <w:lang w:val="en-GB"/>
        </w:rPr>
        <w:t>However, the rules are not often easy to apply. The rules applicable to finding lost property may be summarized as follows:</w:t>
      </w:r>
    </w:p>
    <w:p w:rsidR="00A9342C" w:rsidRDefault="00A9342C" w:rsidP="00A9342C">
      <w:pPr>
        <w:pStyle w:val="ListParagraph"/>
        <w:numPr>
          <w:ilvl w:val="0"/>
          <w:numId w:val="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finder of a chattel acquires no right to over it, unless it has been abandoned, or lost, and he takes it into his care and control. He acquires a right to keep it against all persons except the true owner.</w:t>
      </w:r>
    </w:p>
    <w:p w:rsidR="00A9342C" w:rsidRDefault="00A9342C" w:rsidP="00A9342C">
      <w:pPr>
        <w:pStyle w:val="ListParagraph"/>
        <w:numPr>
          <w:ilvl w:val="0"/>
          <w:numId w:val="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Any servant, or agent who finds a lost property in the course of his employment, does so on behalf of his employer, who by law acquires the rights of a finder.</w:t>
      </w:r>
    </w:p>
    <w:p w:rsidR="00A9342C" w:rsidRDefault="00A9342C" w:rsidP="00A9342C">
      <w:pPr>
        <w:pStyle w:val="ListParagraph"/>
        <w:numPr>
          <w:ilvl w:val="0"/>
          <w:numId w:val="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 occupier of land or a building has superior rights to those of a finder, over property or goods in, or attached to the land, or building.</w:t>
      </w:r>
    </w:p>
    <w:p w:rsidR="00A9342C" w:rsidRPr="00A9342C" w:rsidRDefault="00A9342C" w:rsidP="00A9342C">
      <w:pPr>
        <w:pStyle w:val="ListParagraph"/>
        <w:numPr>
          <w:ilvl w:val="0"/>
          <w:numId w:val="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 occupier of premises does not have superior rights to those of a finder in respect of goods found on or in the premises, except before the finding, the occupier has manifested an intention to exercise control over the premises, and things on it.</w:t>
      </w:r>
    </w:p>
    <w:p w:rsidR="005E3CFB" w:rsidRDefault="00C457D7" w:rsidP="005E3C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Pr>
          <w:rFonts w:ascii="Times New Roman" w:hAnsi="Times New Roman" w:cs="Times New Roman"/>
          <w:b/>
          <w:i/>
          <w:sz w:val="24"/>
          <w:szCs w:val="24"/>
          <w:lang w:val="en-GB"/>
        </w:rPr>
        <w:t>Parker V. British Airways</w:t>
      </w:r>
      <w:r>
        <w:rPr>
          <w:rStyle w:val="FootnoteReference"/>
          <w:rFonts w:ascii="Times New Roman" w:hAnsi="Times New Roman" w:cs="Times New Roman"/>
          <w:b/>
          <w:i/>
          <w:sz w:val="24"/>
          <w:szCs w:val="24"/>
          <w:lang w:val="en-GB"/>
        </w:rPr>
        <w:footnoteReference w:id="12"/>
      </w:r>
      <w:r>
        <w:rPr>
          <w:rFonts w:ascii="Times New Roman" w:hAnsi="Times New Roman" w:cs="Times New Roman"/>
          <w:sz w:val="24"/>
          <w:szCs w:val="24"/>
          <w:lang w:val="en-GB"/>
        </w:rPr>
        <w:t xml:space="preserve">, the plaintiff was waiting in the defendants airway lounge at </w:t>
      </w:r>
      <w:r w:rsidR="00F971D6">
        <w:rPr>
          <w:rFonts w:ascii="Times New Roman" w:hAnsi="Times New Roman" w:cs="Times New Roman"/>
          <w:sz w:val="24"/>
          <w:szCs w:val="24"/>
          <w:lang w:val="en-GB"/>
        </w:rPr>
        <w:t>Heathrow</w:t>
      </w:r>
      <w:r>
        <w:rPr>
          <w:rFonts w:ascii="Times New Roman" w:hAnsi="Times New Roman" w:cs="Times New Roman"/>
          <w:sz w:val="24"/>
          <w:szCs w:val="24"/>
          <w:lang w:val="en-GB"/>
        </w:rPr>
        <w:t xml:space="preserve"> Airport London, when he found a bracelet on the floor. He handed it to the employees of the defendant, together with his name and address, and a request that it should be returned to him if it was unclaimed. It was not claimed by anybody and the defendants </w:t>
      </w:r>
      <w:r w:rsidR="00F971D6">
        <w:rPr>
          <w:rFonts w:ascii="Times New Roman" w:hAnsi="Times New Roman" w:cs="Times New Roman"/>
          <w:sz w:val="24"/>
          <w:szCs w:val="24"/>
          <w:lang w:val="en-GB"/>
        </w:rPr>
        <w:t>failed to return it to the finder and sold it. Thee England Court of Appeal held that the proceeds of sale belonged to the plaintiff who found it.</w:t>
      </w:r>
    </w:p>
    <w:p w:rsidR="00574E86" w:rsidRPr="00BF71AF" w:rsidRDefault="00574E86" w:rsidP="004E4392">
      <w:pPr>
        <w:spacing w:line="360" w:lineRule="auto"/>
        <w:jc w:val="center"/>
        <w:rPr>
          <w:rFonts w:ascii="Times New Roman" w:hAnsi="Times New Roman" w:cs="Times New Roman"/>
          <w:b/>
          <w:sz w:val="24"/>
          <w:szCs w:val="24"/>
          <w:u w:val="single"/>
          <w:lang w:val="en-GB"/>
        </w:rPr>
      </w:pPr>
      <w:r w:rsidRPr="00BF71AF">
        <w:rPr>
          <w:rFonts w:ascii="Times New Roman" w:hAnsi="Times New Roman" w:cs="Times New Roman"/>
          <w:b/>
          <w:sz w:val="24"/>
          <w:szCs w:val="24"/>
          <w:u w:val="single"/>
          <w:lang w:val="en-GB"/>
        </w:rPr>
        <w:t xml:space="preserve">Defences for </w:t>
      </w:r>
      <w:proofErr w:type="spellStart"/>
      <w:r w:rsidRPr="00BF71AF">
        <w:rPr>
          <w:rFonts w:ascii="Times New Roman" w:hAnsi="Times New Roman" w:cs="Times New Roman"/>
          <w:b/>
          <w:sz w:val="24"/>
          <w:szCs w:val="24"/>
          <w:u w:val="single"/>
          <w:lang w:val="en-GB"/>
        </w:rPr>
        <w:t>detinue</w:t>
      </w:r>
      <w:proofErr w:type="spellEnd"/>
    </w:p>
    <w:p w:rsidR="00574E86" w:rsidRDefault="00922CD6" w:rsidP="00574E8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several potential defences available for detinue. These include but are not limited to:</w:t>
      </w:r>
    </w:p>
    <w:p w:rsidR="00922CD6" w:rsidRDefault="004E4392" w:rsidP="00922CD6">
      <w:pPr>
        <w:pStyle w:val="ListParagraph"/>
        <w:numPr>
          <w:ilvl w:val="0"/>
          <w:numId w:val="9"/>
        </w:numPr>
        <w:spacing w:line="360" w:lineRule="auto"/>
        <w:jc w:val="both"/>
        <w:rPr>
          <w:rFonts w:ascii="Times New Roman" w:hAnsi="Times New Roman" w:cs="Times New Roman"/>
          <w:sz w:val="24"/>
          <w:szCs w:val="24"/>
          <w:lang w:val="en-GB"/>
        </w:rPr>
      </w:pPr>
      <w:proofErr w:type="gramStart"/>
      <w:r>
        <w:rPr>
          <w:rFonts w:ascii="Times New Roman" w:hAnsi="Times New Roman" w:cs="Times New Roman"/>
          <w:b/>
          <w:sz w:val="24"/>
          <w:szCs w:val="24"/>
          <w:u w:val="single"/>
          <w:lang w:val="en-GB"/>
        </w:rPr>
        <w:lastRenderedPageBreak/>
        <w:t>jus</w:t>
      </w:r>
      <w:proofErr w:type="gramEnd"/>
      <w:r>
        <w:rPr>
          <w:rFonts w:ascii="Times New Roman" w:hAnsi="Times New Roman" w:cs="Times New Roman"/>
          <w:b/>
          <w:sz w:val="24"/>
          <w:szCs w:val="24"/>
          <w:u w:val="single"/>
          <w:lang w:val="en-GB"/>
        </w:rPr>
        <w:t xml:space="preserve"> </w:t>
      </w:r>
      <w:proofErr w:type="spellStart"/>
      <w:r>
        <w:rPr>
          <w:rFonts w:ascii="Times New Roman" w:hAnsi="Times New Roman" w:cs="Times New Roman"/>
          <w:b/>
          <w:sz w:val="24"/>
          <w:szCs w:val="24"/>
          <w:u w:val="single"/>
          <w:lang w:val="en-GB"/>
        </w:rPr>
        <w:t>tertii</w:t>
      </w:r>
      <w:proofErr w:type="spellEnd"/>
      <w:r>
        <w:rPr>
          <w:rFonts w:ascii="Times New Roman" w:hAnsi="Times New Roman" w:cs="Times New Roman"/>
          <w:b/>
          <w:sz w:val="24"/>
          <w:szCs w:val="24"/>
          <w:u w:val="single"/>
          <w:lang w:val="en-GB"/>
        </w:rPr>
        <w:t xml:space="preserve">: </w:t>
      </w:r>
      <w:r w:rsidR="00922CD6">
        <w:rPr>
          <w:rFonts w:ascii="Times New Roman" w:hAnsi="Times New Roman" w:cs="Times New Roman"/>
          <w:sz w:val="24"/>
          <w:szCs w:val="24"/>
          <w:lang w:val="en-GB"/>
        </w:rPr>
        <w:t>it is a defence to show that a  third party has a better right of possession than the plaintiff.</w:t>
      </w:r>
    </w:p>
    <w:p w:rsidR="00922CD6" w:rsidRDefault="00922CD6" w:rsidP="00922CD6">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Reasonable defence of a person or property, such as when one beats or injuries a dog that was attacking him or another person.</w:t>
      </w:r>
    </w:p>
    <w:p w:rsidR="00922CD6" w:rsidRDefault="00922CD6" w:rsidP="00922CD6">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Enforcement of a court order or other legal process, such as levying of execution of property under a writ of </w:t>
      </w:r>
      <w:proofErr w:type="spellStart"/>
      <w:r>
        <w:rPr>
          <w:rFonts w:ascii="Times New Roman" w:hAnsi="Times New Roman" w:cs="Times New Roman"/>
          <w:sz w:val="24"/>
          <w:szCs w:val="24"/>
          <w:lang w:val="en-GB"/>
        </w:rPr>
        <w:t>fifa</w:t>
      </w:r>
      <w:proofErr w:type="spellEnd"/>
      <w:r>
        <w:rPr>
          <w:rFonts w:ascii="Times New Roman" w:hAnsi="Times New Roman" w:cs="Times New Roman"/>
          <w:sz w:val="24"/>
          <w:szCs w:val="24"/>
          <w:lang w:val="en-GB"/>
        </w:rPr>
        <w:t xml:space="preserve">. </w:t>
      </w:r>
    </w:p>
    <w:p w:rsidR="00922CD6" w:rsidRDefault="00922CD6" w:rsidP="00922CD6">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Inevitable accident</w:t>
      </w:r>
    </w:p>
    <w:p w:rsidR="00922CD6" w:rsidRDefault="00922CD6" w:rsidP="00922CD6">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Innocent delivery.</w:t>
      </w:r>
    </w:p>
    <w:p w:rsidR="00922CD6" w:rsidRPr="00BF71AF" w:rsidRDefault="00941A2B" w:rsidP="00922CD6">
      <w:pPr>
        <w:spacing w:line="360" w:lineRule="auto"/>
        <w:jc w:val="both"/>
        <w:rPr>
          <w:rFonts w:ascii="Times New Roman" w:hAnsi="Times New Roman" w:cs="Times New Roman"/>
          <w:b/>
          <w:sz w:val="24"/>
          <w:szCs w:val="24"/>
          <w:u w:val="single"/>
          <w:lang w:val="en-GB"/>
        </w:rPr>
      </w:pPr>
      <w:proofErr w:type="gramStart"/>
      <w:r w:rsidRPr="00BF71AF">
        <w:rPr>
          <w:rFonts w:ascii="Times New Roman" w:hAnsi="Times New Roman" w:cs="Times New Roman"/>
          <w:b/>
          <w:sz w:val="24"/>
          <w:szCs w:val="24"/>
          <w:u w:val="single"/>
          <w:lang w:val="en-GB"/>
        </w:rPr>
        <w:t>The r</w:t>
      </w:r>
      <w:r w:rsidR="00922CD6" w:rsidRPr="00BF71AF">
        <w:rPr>
          <w:rFonts w:ascii="Times New Roman" w:hAnsi="Times New Roman" w:cs="Times New Roman"/>
          <w:b/>
          <w:sz w:val="24"/>
          <w:szCs w:val="24"/>
          <w:u w:val="single"/>
          <w:lang w:val="en-GB"/>
        </w:rPr>
        <w:t>emedies for Detinue.</w:t>
      </w:r>
      <w:proofErr w:type="gramEnd"/>
    </w:p>
    <w:p w:rsidR="00922CD6" w:rsidRDefault="00922CD6" w:rsidP="00922CD6">
      <w:pPr>
        <w:pStyle w:val="ListParagraph"/>
        <w:numPr>
          <w:ilvl w:val="0"/>
          <w:numId w:val="10"/>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Delivery up of goods:</w:t>
      </w:r>
      <w:r>
        <w:rPr>
          <w:rFonts w:ascii="Times New Roman" w:hAnsi="Times New Roman" w:cs="Times New Roman"/>
          <w:sz w:val="24"/>
          <w:szCs w:val="24"/>
          <w:lang w:val="en-GB"/>
        </w:rPr>
        <w:t xml:space="preserve"> an order for delivery up of goods is available in an action for detinue. It is basically a Court order demanding the return of the goods or chattel to the plaintiff.</w:t>
      </w:r>
    </w:p>
    <w:p w:rsidR="00922CD6" w:rsidRDefault="00922CD6" w:rsidP="00922CD6">
      <w:pPr>
        <w:pStyle w:val="ListParagraph"/>
        <w:numPr>
          <w:ilvl w:val="0"/>
          <w:numId w:val="10"/>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 xml:space="preserve">Compensatory damages: </w:t>
      </w:r>
      <w:r>
        <w:rPr>
          <w:rFonts w:ascii="Times New Roman" w:hAnsi="Times New Roman" w:cs="Times New Roman"/>
          <w:sz w:val="24"/>
          <w:szCs w:val="24"/>
          <w:lang w:val="en-GB"/>
        </w:rPr>
        <w:t xml:space="preserve">Compensatory damages may be </w:t>
      </w:r>
      <w:r w:rsidR="00941A2B">
        <w:rPr>
          <w:rFonts w:ascii="Times New Roman" w:hAnsi="Times New Roman" w:cs="Times New Roman"/>
          <w:sz w:val="24"/>
          <w:szCs w:val="24"/>
          <w:lang w:val="en-GB"/>
        </w:rPr>
        <w:t>awarded</w:t>
      </w:r>
      <w:r>
        <w:rPr>
          <w:rFonts w:ascii="Times New Roman" w:hAnsi="Times New Roman" w:cs="Times New Roman"/>
          <w:sz w:val="24"/>
          <w:szCs w:val="24"/>
          <w:lang w:val="en-GB"/>
        </w:rPr>
        <w:t xml:space="preserve"> if there has been a loss.</w:t>
      </w:r>
    </w:p>
    <w:p w:rsidR="00922CD6" w:rsidRDefault="00941A2B" w:rsidP="00922CD6">
      <w:pPr>
        <w:pStyle w:val="ListParagraph"/>
        <w:numPr>
          <w:ilvl w:val="0"/>
          <w:numId w:val="10"/>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 xml:space="preserve">Restitution: </w:t>
      </w:r>
      <w:r>
        <w:rPr>
          <w:rFonts w:ascii="Times New Roman" w:hAnsi="Times New Roman" w:cs="Times New Roman"/>
          <w:sz w:val="24"/>
          <w:szCs w:val="24"/>
          <w:lang w:val="en-GB"/>
        </w:rPr>
        <w:t>the remedy of specific restitution (i.e. remedy calculated based on the gains of the defendant) where damages are inadequate.</w:t>
      </w:r>
    </w:p>
    <w:p w:rsidR="00941A2B" w:rsidRPr="00922CD6" w:rsidRDefault="00941A2B" w:rsidP="00922CD6">
      <w:pPr>
        <w:pStyle w:val="ListParagraph"/>
        <w:numPr>
          <w:ilvl w:val="0"/>
          <w:numId w:val="10"/>
        </w:numPr>
        <w:spacing w:line="360" w:lineRule="auto"/>
        <w:jc w:val="both"/>
        <w:rPr>
          <w:rFonts w:ascii="Times New Roman" w:hAnsi="Times New Roman" w:cs="Times New Roman"/>
          <w:sz w:val="24"/>
          <w:szCs w:val="24"/>
          <w:lang w:val="en-GB"/>
        </w:rPr>
      </w:pPr>
      <w:r w:rsidRPr="004E4392">
        <w:rPr>
          <w:rFonts w:ascii="Times New Roman" w:hAnsi="Times New Roman" w:cs="Times New Roman"/>
          <w:b/>
          <w:sz w:val="24"/>
          <w:szCs w:val="24"/>
          <w:u w:val="single"/>
          <w:lang w:val="en-GB"/>
        </w:rPr>
        <w:t>Abatement (also known as Self- Help):</w:t>
      </w:r>
      <w:r>
        <w:rPr>
          <w:rFonts w:ascii="Times New Roman" w:hAnsi="Times New Roman" w:cs="Times New Roman"/>
          <w:sz w:val="24"/>
          <w:szCs w:val="24"/>
          <w:lang w:val="en-GB"/>
        </w:rPr>
        <w:t xml:space="preserve"> 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BF71AF" w:rsidRPr="00BF71AF" w:rsidRDefault="0060025B" w:rsidP="0060025B">
      <w:pPr>
        <w:spacing w:line="360" w:lineRule="auto"/>
        <w:jc w:val="both"/>
        <w:rPr>
          <w:rFonts w:ascii="Times New Roman" w:hAnsi="Times New Roman" w:cs="Times New Roman"/>
          <w:b/>
          <w:sz w:val="24"/>
          <w:szCs w:val="24"/>
          <w:u w:val="single"/>
          <w:lang w:val="en-GB"/>
        </w:rPr>
      </w:pPr>
      <w:proofErr w:type="gramStart"/>
      <w:r w:rsidRPr="00BF71AF">
        <w:rPr>
          <w:rFonts w:ascii="Times New Roman" w:hAnsi="Times New Roman" w:cs="Times New Roman"/>
          <w:b/>
          <w:sz w:val="24"/>
          <w:szCs w:val="24"/>
          <w:u w:val="single"/>
          <w:lang w:val="en-GB"/>
        </w:rPr>
        <w:t xml:space="preserve">Differences between </w:t>
      </w:r>
      <w:proofErr w:type="spellStart"/>
      <w:r w:rsidRPr="00BF71AF">
        <w:rPr>
          <w:rFonts w:ascii="Times New Roman" w:hAnsi="Times New Roman" w:cs="Times New Roman"/>
          <w:b/>
          <w:sz w:val="24"/>
          <w:szCs w:val="24"/>
          <w:u w:val="single"/>
          <w:lang w:val="en-GB"/>
        </w:rPr>
        <w:t>detinue</w:t>
      </w:r>
      <w:proofErr w:type="spellEnd"/>
      <w:r w:rsidRPr="00BF71AF">
        <w:rPr>
          <w:rFonts w:ascii="Times New Roman" w:hAnsi="Times New Roman" w:cs="Times New Roman"/>
          <w:b/>
          <w:sz w:val="24"/>
          <w:szCs w:val="24"/>
          <w:u w:val="single"/>
          <w:lang w:val="en-GB"/>
        </w:rPr>
        <w:t xml:space="preserve"> and conversion.</w:t>
      </w:r>
      <w:proofErr w:type="gramEnd"/>
    </w:p>
    <w:p w:rsidR="009D5DFB" w:rsidRDefault="009D5DFB" w:rsidP="009D5DFB">
      <w:pPr>
        <w:pStyle w:val="ListParagraph"/>
        <w:numPr>
          <w:ilvl w:val="0"/>
          <w:numId w:val="1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refusal to surrender or return a chattel on demand is the essence </w:t>
      </w:r>
      <w:r w:rsidR="00BF71AF">
        <w:rPr>
          <w:rFonts w:ascii="Times New Roman" w:hAnsi="Times New Roman" w:cs="Times New Roman"/>
          <w:sz w:val="24"/>
          <w:szCs w:val="24"/>
          <w:lang w:val="en-GB"/>
        </w:rPr>
        <w:t xml:space="preserve">of </w:t>
      </w:r>
      <w:proofErr w:type="spellStart"/>
      <w:r w:rsidR="00BF71AF">
        <w:rPr>
          <w:rFonts w:ascii="Times New Roman" w:hAnsi="Times New Roman" w:cs="Times New Roman"/>
          <w:sz w:val="24"/>
          <w:szCs w:val="24"/>
          <w:lang w:val="en-GB"/>
        </w:rPr>
        <w:t>detinue</w:t>
      </w:r>
      <w:proofErr w:type="spellEnd"/>
      <w:r w:rsidR="00BF71AF">
        <w:rPr>
          <w:rFonts w:ascii="Times New Roman" w:hAnsi="Times New Roman" w:cs="Times New Roman"/>
          <w:sz w:val="24"/>
          <w:szCs w:val="24"/>
          <w:lang w:val="en-GB"/>
        </w:rPr>
        <w:t>, or detention. There must have been a demand for return of the chattel.</w:t>
      </w:r>
    </w:p>
    <w:p w:rsidR="00BF71AF" w:rsidRDefault="00BF71AF" w:rsidP="009D5DFB">
      <w:pPr>
        <w:pStyle w:val="ListParagraph"/>
        <w:numPr>
          <w:ilvl w:val="0"/>
          <w:numId w:val="19"/>
        </w:num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Detinue</w:t>
      </w:r>
      <w:proofErr w:type="spellEnd"/>
      <w:r>
        <w:rPr>
          <w:rFonts w:ascii="Times New Roman" w:hAnsi="Times New Roman" w:cs="Times New Roman"/>
          <w:sz w:val="24"/>
          <w:szCs w:val="24"/>
          <w:lang w:val="en-GB"/>
        </w:rPr>
        <w:t xml:space="preserv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rsidR="00BF71AF" w:rsidRPr="00BF71AF" w:rsidRDefault="00BF71AF" w:rsidP="00BF71AF">
      <w:pPr>
        <w:spacing w:line="360" w:lineRule="auto"/>
        <w:ind w:left="360"/>
        <w:jc w:val="both"/>
        <w:rPr>
          <w:rFonts w:ascii="Times New Roman" w:hAnsi="Times New Roman" w:cs="Times New Roman"/>
          <w:sz w:val="24"/>
          <w:szCs w:val="24"/>
          <w:lang w:val="en-GB"/>
        </w:rPr>
      </w:pPr>
    </w:p>
    <w:p w:rsidR="008726BE" w:rsidRPr="008726BE" w:rsidRDefault="008726BE" w:rsidP="0060025B">
      <w:pPr>
        <w:spacing w:line="360" w:lineRule="auto"/>
        <w:jc w:val="both"/>
        <w:rPr>
          <w:rFonts w:ascii="Times New Roman" w:hAnsi="Times New Roman" w:cs="Times New Roman"/>
          <w:b/>
          <w:sz w:val="24"/>
          <w:szCs w:val="24"/>
          <w:u w:val="single"/>
          <w:lang w:val="en-GB"/>
        </w:rPr>
      </w:pPr>
      <w:r w:rsidRPr="008726BE">
        <w:rPr>
          <w:rFonts w:ascii="Times New Roman" w:hAnsi="Times New Roman" w:cs="Times New Roman"/>
          <w:b/>
          <w:sz w:val="24"/>
          <w:szCs w:val="24"/>
          <w:u w:val="single"/>
          <w:lang w:val="en-GB"/>
        </w:rPr>
        <w:lastRenderedPageBreak/>
        <w:t>REFERENCES:</w:t>
      </w:r>
    </w:p>
    <w:p w:rsidR="008726BE" w:rsidRDefault="008726BE" w:rsidP="006002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LAW OF TORT BY ESE MALAMI</w:t>
      </w:r>
    </w:p>
    <w:p w:rsidR="008726BE" w:rsidRDefault="008726BE" w:rsidP="0060025B">
      <w:pPr>
        <w:spacing w:line="360" w:lineRule="auto"/>
        <w:jc w:val="both"/>
        <w:rPr>
          <w:rFonts w:ascii="Times New Roman" w:hAnsi="Times New Roman" w:cs="Times New Roman"/>
          <w:sz w:val="24"/>
          <w:szCs w:val="24"/>
          <w:lang w:val="en-GB"/>
        </w:rPr>
      </w:pPr>
      <w:hyperlink r:id="rId9" w:history="1">
        <w:r w:rsidRPr="004C145A">
          <w:rPr>
            <w:rStyle w:val="Hyperlink"/>
            <w:rFonts w:ascii="Times New Roman" w:hAnsi="Times New Roman" w:cs="Times New Roman"/>
            <w:sz w:val="24"/>
            <w:szCs w:val="24"/>
            <w:lang w:val="en-GB"/>
          </w:rPr>
          <w:t>www.lawteacher.net</w:t>
        </w:r>
      </w:hyperlink>
    </w:p>
    <w:p w:rsidR="008726BE" w:rsidRDefault="008726BE" w:rsidP="0060025B">
      <w:pPr>
        <w:spacing w:line="360" w:lineRule="auto"/>
        <w:jc w:val="both"/>
        <w:rPr>
          <w:rFonts w:ascii="Times New Roman" w:hAnsi="Times New Roman" w:cs="Times New Roman"/>
          <w:sz w:val="24"/>
          <w:szCs w:val="24"/>
          <w:lang w:val="en-GB"/>
        </w:rPr>
      </w:pPr>
      <w:hyperlink r:id="rId10" w:history="1">
        <w:r w:rsidRPr="004C145A">
          <w:rPr>
            <w:rStyle w:val="Hyperlink"/>
            <w:rFonts w:ascii="Times New Roman" w:hAnsi="Times New Roman" w:cs="Times New Roman"/>
            <w:sz w:val="24"/>
            <w:szCs w:val="24"/>
            <w:lang w:val="en-GB"/>
          </w:rPr>
          <w:t>www.stimmel-law.com</w:t>
        </w:r>
      </w:hyperlink>
    </w:p>
    <w:p w:rsidR="008726BE" w:rsidRDefault="008726BE" w:rsidP="0060025B">
      <w:pPr>
        <w:spacing w:line="360" w:lineRule="auto"/>
        <w:jc w:val="both"/>
        <w:rPr>
          <w:rFonts w:ascii="Times New Roman" w:hAnsi="Times New Roman" w:cs="Times New Roman"/>
          <w:sz w:val="24"/>
          <w:szCs w:val="24"/>
          <w:lang w:val="en-GB"/>
        </w:rPr>
      </w:pPr>
      <w:hyperlink r:id="rId11" w:history="1">
        <w:r w:rsidRPr="004C145A">
          <w:rPr>
            <w:rStyle w:val="Hyperlink"/>
            <w:rFonts w:ascii="Times New Roman" w:hAnsi="Times New Roman" w:cs="Times New Roman"/>
            <w:sz w:val="24"/>
            <w:szCs w:val="24"/>
            <w:lang w:val="en-GB"/>
          </w:rPr>
          <w:t>www.quora.com</w:t>
        </w:r>
      </w:hyperlink>
    </w:p>
    <w:p w:rsidR="008726BE" w:rsidRDefault="008726BE" w:rsidP="006002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sglaw.com.au</w:t>
      </w:r>
    </w:p>
    <w:p w:rsidR="008726BE" w:rsidRDefault="008726BE" w:rsidP="006002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djetlawyer.com</w:t>
      </w:r>
    </w:p>
    <w:p w:rsidR="008726BE" w:rsidRDefault="008726BE" w:rsidP="0060025B">
      <w:pPr>
        <w:spacing w:line="360" w:lineRule="auto"/>
        <w:jc w:val="both"/>
        <w:rPr>
          <w:rFonts w:ascii="Times New Roman" w:hAnsi="Times New Roman" w:cs="Times New Roman"/>
          <w:sz w:val="24"/>
          <w:szCs w:val="24"/>
          <w:lang w:val="en-GB"/>
        </w:rPr>
      </w:pPr>
      <w:hyperlink r:id="rId12" w:history="1">
        <w:r w:rsidRPr="004C145A">
          <w:rPr>
            <w:rStyle w:val="Hyperlink"/>
            <w:rFonts w:ascii="Times New Roman" w:hAnsi="Times New Roman" w:cs="Times New Roman"/>
            <w:sz w:val="24"/>
            <w:szCs w:val="24"/>
            <w:lang w:val="en-GB"/>
          </w:rPr>
          <w:t>www.findlaw.com</w:t>
        </w:r>
      </w:hyperlink>
    </w:p>
    <w:p w:rsidR="008726BE" w:rsidRDefault="008726BE" w:rsidP="0060025B">
      <w:pPr>
        <w:spacing w:line="360" w:lineRule="auto"/>
        <w:jc w:val="both"/>
        <w:rPr>
          <w:rFonts w:ascii="Times New Roman" w:hAnsi="Times New Roman" w:cs="Times New Roman"/>
          <w:sz w:val="24"/>
          <w:szCs w:val="24"/>
          <w:lang w:val="en-GB"/>
        </w:rPr>
      </w:pPr>
      <w:hyperlink r:id="rId13" w:history="1">
        <w:r w:rsidRPr="004C145A">
          <w:rPr>
            <w:rStyle w:val="Hyperlink"/>
            <w:rFonts w:ascii="Times New Roman" w:hAnsi="Times New Roman" w:cs="Times New Roman"/>
            <w:sz w:val="24"/>
            <w:szCs w:val="24"/>
            <w:lang w:val="en-GB"/>
          </w:rPr>
          <w:t>www.legalmatch.com</w:t>
        </w:r>
      </w:hyperlink>
    </w:p>
    <w:p w:rsidR="008726BE" w:rsidRDefault="008726BE" w:rsidP="0060025B">
      <w:pPr>
        <w:spacing w:line="360" w:lineRule="auto"/>
        <w:jc w:val="both"/>
        <w:rPr>
          <w:rFonts w:ascii="Times New Roman" w:hAnsi="Times New Roman" w:cs="Times New Roman"/>
          <w:sz w:val="24"/>
          <w:szCs w:val="24"/>
          <w:lang w:val="en-GB"/>
        </w:rPr>
      </w:pPr>
    </w:p>
    <w:p w:rsidR="008726BE" w:rsidRDefault="008726BE" w:rsidP="0060025B">
      <w:pPr>
        <w:spacing w:line="360" w:lineRule="auto"/>
        <w:jc w:val="both"/>
        <w:rPr>
          <w:rFonts w:ascii="Times New Roman" w:hAnsi="Times New Roman" w:cs="Times New Roman"/>
          <w:sz w:val="24"/>
          <w:szCs w:val="24"/>
          <w:lang w:val="en-GB"/>
        </w:rPr>
      </w:pPr>
    </w:p>
    <w:p w:rsidR="0060025B" w:rsidRPr="0060025B" w:rsidRDefault="0060025B" w:rsidP="0060025B">
      <w:pPr>
        <w:spacing w:line="360" w:lineRule="auto"/>
        <w:jc w:val="both"/>
        <w:rPr>
          <w:rFonts w:ascii="Times New Roman" w:hAnsi="Times New Roman" w:cs="Times New Roman"/>
          <w:sz w:val="24"/>
          <w:szCs w:val="24"/>
          <w:lang w:val="en-GB"/>
        </w:rPr>
      </w:pPr>
    </w:p>
    <w:p w:rsidR="00411BBA" w:rsidRPr="00922CD6" w:rsidRDefault="00411BBA" w:rsidP="00922CD6">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Default="00890047" w:rsidP="00890047">
      <w:pPr>
        <w:spacing w:line="360" w:lineRule="auto"/>
        <w:jc w:val="both"/>
        <w:rPr>
          <w:rFonts w:ascii="Times New Roman" w:hAnsi="Times New Roman" w:cs="Times New Roman"/>
          <w:sz w:val="24"/>
          <w:szCs w:val="24"/>
          <w:lang w:val="en-GB"/>
        </w:rPr>
      </w:pPr>
    </w:p>
    <w:p w:rsidR="00890047" w:rsidRPr="00890047" w:rsidRDefault="00890047" w:rsidP="00890047">
      <w:pPr>
        <w:spacing w:line="360" w:lineRule="auto"/>
        <w:jc w:val="both"/>
        <w:rPr>
          <w:rFonts w:ascii="Times New Roman" w:hAnsi="Times New Roman" w:cs="Times New Roman"/>
          <w:sz w:val="24"/>
          <w:szCs w:val="24"/>
          <w:lang w:val="en-GB"/>
        </w:rPr>
      </w:pPr>
    </w:p>
    <w:sectPr w:rsidR="00890047" w:rsidRPr="008900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A8" w:rsidRDefault="006857A8" w:rsidP="00DA6217">
      <w:pPr>
        <w:spacing w:after="0" w:line="240" w:lineRule="auto"/>
      </w:pPr>
      <w:r>
        <w:separator/>
      </w:r>
    </w:p>
  </w:endnote>
  <w:endnote w:type="continuationSeparator" w:id="0">
    <w:p w:rsidR="006857A8" w:rsidRDefault="006857A8" w:rsidP="00DA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A8" w:rsidRDefault="006857A8" w:rsidP="00DA6217">
      <w:pPr>
        <w:spacing w:after="0" w:line="240" w:lineRule="auto"/>
      </w:pPr>
      <w:r>
        <w:separator/>
      </w:r>
    </w:p>
  </w:footnote>
  <w:footnote w:type="continuationSeparator" w:id="0">
    <w:p w:rsidR="006857A8" w:rsidRDefault="006857A8" w:rsidP="00DA6217">
      <w:pPr>
        <w:spacing w:after="0" w:line="240" w:lineRule="auto"/>
      </w:pPr>
      <w:r>
        <w:continuationSeparator/>
      </w:r>
    </w:p>
  </w:footnote>
  <w:footnote w:id="1">
    <w:p w:rsidR="00BB2FF1" w:rsidRPr="00BB2FF1" w:rsidRDefault="00BB2FF1">
      <w:pPr>
        <w:pStyle w:val="FootnoteText"/>
        <w:rPr>
          <w:lang w:val="en-GB"/>
        </w:rPr>
      </w:pPr>
      <w:r>
        <w:rPr>
          <w:rStyle w:val="FootnoteReference"/>
        </w:rPr>
        <w:footnoteRef/>
      </w:r>
      <w:r>
        <w:t xml:space="preserve"> </w:t>
      </w:r>
      <w:r>
        <w:rPr>
          <w:lang w:val="en-GB"/>
        </w:rPr>
        <w:t>(1878)  1EX D 55</w:t>
      </w:r>
    </w:p>
  </w:footnote>
  <w:footnote w:id="2">
    <w:p w:rsidR="004E4392" w:rsidRPr="004E4392" w:rsidRDefault="004E4392">
      <w:pPr>
        <w:pStyle w:val="FootnoteText"/>
        <w:rPr>
          <w:lang w:val="en-GB"/>
        </w:rPr>
      </w:pPr>
      <w:r>
        <w:rPr>
          <w:rStyle w:val="FootnoteReference"/>
        </w:rPr>
        <w:footnoteRef/>
      </w:r>
      <w:r>
        <w:t xml:space="preserve"> </w:t>
      </w:r>
      <w:r>
        <w:rPr>
          <w:lang w:val="en-GB"/>
        </w:rPr>
        <w:t>(1610) 123 ER 970</w:t>
      </w:r>
    </w:p>
  </w:footnote>
  <w:footnote w:id="3">
    <w:p w:rsidR="00DA6217" w:rsidRPr="00DA6217" w:rsidRDefault="00DA6217">
      <w:pPr>
        <w:pStyle w:val="FootnoteText"/>
        <w:rPr>
          <w:lang w:val="en-GB"/>
        </w:rPr>
      </w:pPr>
      <w:r>
        <w:rPr>
          <w:rStyle w:val="FootnoteReference"/>
        </w:rPr>
        <w:footnoteRef/>
      </w:r>
      <w:r>
        <w:t xml:space="preserve"> (1993) 9 NWLR pt.316, p. 60 CA</w:t>
      </w:r>
    </w:p>
  </w:footnote>
  <w:footnote w:id="4">
    <w:p w:rsidR="00591AFC" w:rsidRPr="00591AFC" w:rsidRDefault="00591AFC">
      <w:pPr>
        <w:pStyle w:val="FootnoteText"/>
        <w:rPr>
          <w:lang w:val="en-GB"/>
        </w:rPr>
      </w:pPr>
      <w:r>
        <w:rPr>
          <w:rStyle w:val="FootnoteReference"/>
        </w:rPr>
        <w:footnoteRef/>
      </w:r>
      <w:r>
        <w:t xml:space="preserve"> </w:t>
      </w:r>
      <w:r>
        <w:rPr>
          <w:lang w:val="en-GB"/>
        </w:rPr>
        <w:t>(1950) 1All ER780</w:t>
      </w:r>
    </w:p>
  </w:footnote>
  <w:footnote w:id="5">
    <w:p w:rsidR="004E4392" w:rsidRPr="004E4392" w:rsidRDefault="004E4392">
      <w:pPr>
        <w:pStyle w:val="FootnoteText"/>
        <w:rPr>
          <w:lang w:val="en-GB"/>
        </w:rPr>
      </w:pPr>
      <w:r>
        <w:rPr>
          <w:rStyle w:val="FootnoteReference"/>
        </w:rPr>
        <w:footnoteRef/>
      </w:r>
      <w:r>
        <w:t xml:space="preserve"> </w:t>
      </w:r>
      <w:r w:rsidR="00046693">
        <w:rPr>
          <w:lang w:val="en-GB"/>
        </w:rPr>
        <w:t>(1841) 151 ER 1153</w:t>
      </w:r>
    </w:p>
  </w:footnote>
  <w:footnote w:id="6">
    <w:p w:rsidR="00C747A0" w:rsidRPr="00C747A0" w:rsidRDefault="00C747A0">
      <w:pPr>
        <w:pStyle w:val="FootnoteText"/>
        <w:rPr>
          <w:lang w:val="en-GB"/>
        </w:rPr>
      </w:pPr>
      <w:r>
        <w:rPr>
          <w:rStyle w:val="FootnoteReference"/>
        </w:rPr>
        <w:footnoteRef/>
      </w:r>
      <w:r>
        <w:t xml:space="preserve"> </w:t>
      </w:r>
      <w:r>
        <w:rPr>
          <w:lang w:val="en-GB"/>
        </w:rPr>
        <w:t>(1980) 1 WLR 1375</w:t>
      </w:r>
    </w:p>
  </w:footnote>
  <w:footnote w:id="7">
    <w:p w:rsidR="007B1CBE" w:rsidRPr="007B1CBE" w:rsidRDefault="007B1CBE">
      <w:pPr>
        <w:pStyle w:val="FootnoteText"/>
        <w:rPr>
          <w:lang w:val="en-GB"/>
        </w:rPr>
      </w:pPr>
      <w:r>
        <w:rPr>
          <w:rStyle w:val="FootnoteReference"/>
        </w:rPr>
        <w:footnoteRef/>
      </w:r>
      <w:r>
        <w:t xml:space="preserve"> </w:t>
      </w:r>
      <w:r>
        <w:rPr>
          <w:lang w:val="en-GB"/>
        </w:rPr>
        <w:t>(1875)  LR 7 HL 757</w:t>
      </w:r>
    </w:p>
  </w:footnote>
  <w:footnote w:id="8">
    <w:p w:rsidR="00307A86" w:rsidRPr="00307A86" w:rsidRDefault="00307A86">
      <w:pPr>
        <w:pStyle w:val="FootnoteText"/>
        <w:rPr>
          <w:lang w:val="en-GB"/>
        </w:rPr>
      </w:pPr>
      <w:r>
        <w:rPr>
          <w:rStyle w:val="FootnoteReference"/>
        </w:rPr>
        <w:footnoteRef/>
      </w:r>
      <w:r>
        <w:t xml:space="preserve"> </w:t>
      </w:r>
      <w:r>
        <w:rPr>
          <w:lang w:val="en-GB"/>
        </w:rPr>
        <w:t xml:space="preserve">(1989) 3NWLR </w:t>
      </w:r>
      <w:proofErr w:type="spellStart"/>
      <w:r>
        <w:rPr>
          <w:lang w:val="en-GB"/>
        </w:rPr>
        <w:t>Pt</w:t>
      </w:r>
      <w:proofErr w:type="spellEnd"/>
      <w:r>
        <w:rPr>
          <w:lang w:val="en-GB"/>
        </w:rPr>
        <w:t xml:space="preserve"> 107,p.SC</w:t>
      </w:r>
    </w:p>
  </w:footnote>
  <w:footnote w:id="9">
    <w:p w:rsidR="00A052EA" w:rsidRPr="00A052EA" w:rsidRDefault="00A052EA">
      <w:pPr>
        <w:pStyle w:val="FootnoteText"/>
        <w:rPr>
          <w:lang w:val="en-GB"/>
        </w:rPr>
      </w:pPr>
      <w:r>
        <w:rPr>
          <w:rStyle w:val="FootnoteReference"/>
        </w:rPr>
        <w:footnoteRef/>
      </w:r>
      <w:r>
        <w:t xml:space="preserve"> </w:t>
      </w:r>
      <w:r>
        <w:rPr>
          <w:lang w:val="en-GB"/>
        </w:rPr>
        <w:t xml:space="preserve">(1991) 3NWLR </w:t>
      </w:r>
      <w:proofErr w:type="spellStart"/>
      <w:r>
        <w:rPr>
          <w:lang w:val="en-GB"/>
        </w:rPr>
        <w:t>Pt</w:t>
      </w:r>
      <w:proofErr w:type="spellEnd"/>
      <w:r>
        <w:rPr>
          <w:lang w:val="en-GB"/>
        </w:rPr>
        <w:t xml:space="preserve"> 177,p.46 CA</w:t>
      </w:r>
    </w:p>
  </w:footnote>
  <w:footnote w:id="10">
    <w:p w:rsidR="00F33E1D" w:rsidRPr="00F33E1D" w:rsidRDefault="00F33E1D">
      <w:pPr>
        <w:pStyle w:val="FootnoteText"/>
        <w:rPr>
          <w:lang w:val="en-GB"/>
        </w:rPr>
      </w:pPr>
      <w:r>
        <w:rPr>
          <w:rStyle w:val="FootnoteReference"/>
        </w:rPr>
        <w:footnoteRef/>
      </w:r>
      <w:r>
        <w:t xml:space="preserve"> </w:t>
      </w:r>
      <w:r>
        <w:rPr>
          <w:lang w:val="en-GB"/>
        </w:rPr>
        <w:t xml:space="preserve">(1986) 5NWLR </w:t>
      </w:r>
      <w:proofErr w:type="spellStart"/>
      <w:r>
        <w:rPr>
          <w:lang w:val="en-GB"/>
        </w:rPr>
        <w:t>pt</w:t>
      </w:r>
      <w:proofErr w:type="spellEnd"/>
      <w:r>
        <w:rPr>
          <w:lang w:val="en-GB"/>
        </w:rPr>
        <w:t xml:space="preserve"> 42.p532</w:t>
      </w:r>
    </w:p>
  </w:footnote>
  <w:footnote w:id="11">
    <w:p w:rsidR="00A9342C" w:rsidRPr="00A9342C" w:rsidRDefault="00A9342C">
      <w:pPr>
        <w:pStyle w:val="FootnoteText"/>
        <w:rPr>
          <w:lang w:val="en-GB"/>
        </w:rPr>
      </w:pPr>
      <w:r>
        <w:rPr>
          <w:rStyle w:val="FootnoteReference"/>
        </w:rPr>
        <w:footnoteRef/>
      </w:r>
      <w:r>
        <w:t xml:space="preserve"> </w:t>
      </w:r>
      <w:r>
        <w:rPr>
          <w:lang w:val="en-GB"/>
        </w:rPr>
        <w:t>(1892) 1 All ER 834 CA</w:t>
      </w:r>
    </w:p>
  </w:footnote>
  <w:footnote w:id="12">
    <w:p w:rsidR="00C457D7" w:rsidRDefault="00C457D7">
      <w:pPr>
        <w:pStyle w:val="FootnoteText"/>
        <w:rPr>
          <w:lang w:val="en-GB"/>
        </w:rPr>
      </w:pPr>
      <w:r>
        <w:rPr>
          <w:rStyle w:val="FootnoteReference"/>
        </w:rPr>
        <w:footnoteRef/>
      </w:r>
      <w:r>
        <w:t xml:space="preserve"> </w:t>
      </w:r>
      <w:r>
        <w:rPr>
          <w:lang w:val="en-GB"/>
        </w:rPr>
        <w:t>Supra</w:t>
      </w:r>
    </w:p>
    <w:p w:rsidR="00C457D7" w:rsidRPr="00C457D7" w:rsidRDefault="00C457D7">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03"/>
    <w:multiLevelType w:val="hybridMultilevel"/>
    <w:tmpl w:val="663A53EC"/>
    <w:lvl w:ilvl="0" w:tplc="3DE6EC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162DEE"/>
    <w:multiLevelType w:val="hybridMultilevel"/>
    <w:tmpl w:val="432EC6D0"/>
    <w:lvl w:ilvl="0" w:tplc="598EF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15E0"/>
    <w:multiLevelType w:val="hybridMultilevel"/>
    <w:tmpl w:val="96165B46"/>
    <w:lvl w:ilvl="0" w:tplc="1C92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23335"/>
    <w:multiLevelType w:val="hybridMultilevel"/>
    <w:tmpl w:val="549E87B8"/>
    <w:lvl w:ilvl="0" w:tplc="58AE6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14314"/>
    <w:multiLevelType w:val="hybridMultilevel"/>
    <w:tmpl w:val="BC0805BC"/>
    <w:lvl w:ilvl="0" w:tplc="456E0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77AC1"/>
    <w:multiLevelType w:val="hybridMultilevel"/>
    <w:tmpl w:val="A3269520"/>
    <w:lvl w:ilvl="0" w:tplc="71C2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922E5"/>
    <w:multiLevelType w:val="hybridMultilevel"/>
    <w:tmpl w:val="61D0E3A2"/>
    <w:lvl w:ilvl="0" w:tplc="6FFED4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01805"/>
    <w:multiLevelType w:val="hybridMultilevel"/>
    <w:tmpl w:val="6612442A"/>
    <w:lvl w:ilvl="0" w:tplc="2CC62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C5E6B"/>
    <w:multiLevelType w:val="hybridMultilevel"/>
    <w:tmpl w:val="EA9261CA"/>
    <w:lvl w:ilvl="0" w:tplc="5A9A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E61E6"/>
    <w:multiLevelType w:val="hybridMultilevel"/>
    <w:tmpl w:val="7A9422A0"/>
    <w:lvl w:ilvl="0" w:tplc="1FFC6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67562"/>
    <w:multiLevelType w:val="hybridMultilevel"/>
    <w:tmpl w:val="08EA4BD4"/>
    <w:lvl w:ilvl="0" w:tplc="0D7CC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604E7"/>
    <w:multiLevelType w:val="hybridMultilevel"/>
    <w:tmpl w:val="F25C5F2C"/>
    <w:lvl w:ilvl="0" w:tplc="2292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80C21"/>
    <w:multiLevelType w:val="hybridMultilevel"/>
    <w:tmpl w:val="9788B9F0"/>
    <w:lvl w:ilvl="0" w:tplc="4DAE8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93F5C"/>
    <w:multiLevelType w:val="hybridMultilevel"/>
    <w:tmpl w:val="6AA4727C"/>
    <w:lvl w:ilvl="0" w:tplc="C90E95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B563348"/>
    <w:multiLevelType w:val="hybridMultilevel"/>
    <w:tmpl w:val="86FE38BA"/>
    <w:lvl w:ilvl="0" w:tplc="B02E8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B7888"/>
    <w:multiLevelType w:val="hybridMultilevel"/>
    <w:tmpl w:val="C78E2D2E"/>
    <w:lvl w:ilvl="0" w:tplc="CA9EA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665A7D"/>
    <w:multiLevelType w:val="hybridMultilevel"/>
    <w:tmpl w:val="7096A9C0"/>
    <w:lvl w:ilvl="0" w:tplc="2BF02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C41B3"/>
    <w:multiLevelType w:val="hybridMultilevel"/>
    <w:tmpl w:val="481E2E70"/>
    <w:lvl w:ilvl="0" w:tplc="F66C4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301D2"/>
    <w:multiLevelType w:val="hybridMultilevel"/>
    <w:tmpl w:val="6A06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F3477"/>
    <w:multiLevelType w:val="hybridMultilevel"/>
    <w:tmpl w:val="48C4162E"/>
    <w:lvl w:ilvl="0" w:tplc="BFDA8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C2104"/>
    <w:multiLevelType w:val="multilevel"/>
    <w:tmpl w:val="95D6CFE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2"/>
  </w:num>
  <w:num w:numId="3">
    <w:abstractNumId w:val="13"/>
  </w:num>
  <w:num w:numId="4">
    <w:abstractNumId w:val="7"/>
  </w:num>
  <w:num w:numId="5">
    <w:abstractNumId w:val="0"/>
  </w:num>
  <w:num w:numId="6">
    <w:abstractNumId w:val="4"/>
  </w:num>
  <w:num w:numId="7">
    <w:abstractNumId w:val="9"/>
  </w:num>
  <w:num w:numId="8">
    <w:abstractNumId w:val="14"/>
  </w:num>
  <w:num w:numId="9">
    <w:abstractNumId w:val="3"/>
  </w:num>
  <w:num w:numId="10">
    <w:abstractNumId w:val="5"/>
  </w:num>
  <w:num w:numId="11">
    <w:abstractNumId w:val="18"/>
  </w:num>
  <w:num w:numId="12">
    <w:abstractNumId w:val="11"/>
  </w:num>
  <w:num w:numId="13">
    <w:abstractNumId w:val="16"/>
  </w:num>
  <w:num w:numId="14">
    <w:abstractNumId w:val="1"/>
  </w:num>
  <w:num w:numId="15">
    <w:abstractNumId w:val="10"/>
  </w:num>
  <w:num w:numId="16">
    <w:abstractNumId w:val="6"/>
  </w:num>
  <w:num w:numId="17">
    <w:abstractNumId w:val="15"/>
  </w:num>
  <w:num w:numId="18">
    <w:abstractNumId w:val="19"/>
  </w:num>
  <w:num w:numId="19">
    <w:abstractNumId w:val="17"/>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47"/>
    <w:rsid w:val="000008B3"/>
    <w:rsid w:val="00046693"/>
    <w:rsid w:val="000F3C98"/>
    <w:rsid w:val="001026BE"/>
    <w:rsid w:val="0012591C"/>
    <w:rsid w:val="001C0B3D"/>
    <w:rsid w:val="0027783D"/>
    <w:rsid w:val="00277C27"/>
    <w:rsid w:val="00307A86"/>
    <w:rsid w:val="00357AB4"/>
    <w:rsid w:val="00411BBA"/>
    <w:rsid w:val="004E4392"/>
    <w:rsid w:val="004E635C"/>
    <w:rsid w:val="00544EE5"/>
    <w:rsid w:val="00574E86"/>
    <w:rsid w:val="00581EB1"/>
    <w:rsid w:val="00591AFC"/>
    <w:rsid w:val="005A0266"/>
    <w:rsid w:val="005E3CFB"/>
    <w:rsid w:val="0060025B"/>
    <w:rsid w:val="006245FF"/>
    <w:rsid w:val="006857A8"/>
    <w:rsid w:val="006C0CD6"/>
    <w:rsid w:val="00750510"/>
    <w:rsid w:val="007B1CBE"/>
    <w:rsid w:val="008012BF"/>
    <w:rsid w:val="008726BE"/>
    <w:rsid w:val="00890047"/>
    <w:rsid w:val="008B4140"/>
    <w:rsid w:val="008E4D04"/>
    <w:rsid w:val="00922CD6"/>
    <w:rsid w:val="00941A2B"/>
    <w:rsid w:val="0099066C"/>
    <w:rsid w:val="009B7C89"/>
    <w:rsid w:val="009D5DFB"/>
    <w:rsid w:val="00A052EA"/>
    <w:rsid w:val="00A5569F"/>
    <w:rsid w:val="00A9342C"/>
    <w:rsid w:val="00AA7BAA"/>
    <w:rsid w:val="00AE7D39"/>
    <w:rsid w:val="00B70640"/>
    <w:rsid w:val="00B95719"/>
    <w:rsid w:val="00BB2FF1"/>
    <w:rsid w:val="00BD78BE"/>
    <w:rsid w:val="00BE260F"/>
    <w:rsid w:val="00BF71AF"/>
    <w:rsid w:val="00C120B8"/>
    <w:rsid w:val="00C457D7"/>
    <w:rsid w:val="00C747A0"/>
    <w:rsid w:val="00CE0C34"/>
    <w:rsid w:val="00CF2F33"/>
    <w:rsid w:val="00D42873"/>
    <w:rsid w:val="00DA6217"/>
    <w:rsid w:val="00EC0967"/>
    <w:rsid w:val="00F33E1D"/>
    <w:rsid w:val="00F423BB"/>
    <w:rsid w:val="00F865EC"/>
    <w:rsid w:val="00F9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FB"/>
    <w:pPr>
      <w:ind w:left="720"/>
      <w:contextualSpacing/>
    </w:pPr>
  </w:style>
  <w:style w:type="paragraph" w:styleId="FootnoteText">
    <w:name w:val="footnote text"/>
    <w:basedOn w:val="Normal"/>
    <w:link w:val="FootnoteTextChar"/>
    <w:uiPriority w:val="99"/>
    <w:semiHidden/>
    <w:unhideWhenUsed/>
    <w:rsid w:val="00DA6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17"/>
    <w:rPr>
      <w:sz w:val="20"/>
      <w:szCs w:val="20"/>
    </w:rPr>
  </w:style>
  <w:style w:type="character" w:styleId="FootnoteReference">
    <w:name w:val="footnote reference"/>
    <w:basedOn w:val="DefaultParagraphFont"/>
    <w:uiPriority w:val="99"/>
    <w:semiHidden/>
    <w:unhideWhenUsed/>
    <w:rsid w:val="00DA6217"/>
    <w:rPr>
      <w:vertAlign w:val="superscript"/>
    </w:rPr>
  </w:style>
  <w:style w:type="paragraph" w:styleId="Header">
    <w:name w:val="header"/>
    <w:basedOn w:val="Normal"/>
    <w:link w:val="HeaderChar"/>
    <w:uiPriority w:val="99"/>
    <w:unhideWhenUsed/>
    <w:rsid w:val="00EC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67"/>
  </w:style>
  <w:style w:type="paragraph" w:styleId="Footer">
    <w:name w:val="footer"/>
    <w:basedOn w:val="Normal"/>
    <w:link w:val="FooterChar"/>
    <w:uiPriority w:val="99"/>
    <w:unhideWhenUsed/>
    <w:rsid w:val="00EC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67"/>
  </w:style>
  <w:style w:type="character" w:styleId="Hyperlink">
    <w:name w:val="Hyperlink"/>
    <w:basedOn w:val="DefaultParagraphFont"/>
    <w:uiPriority w:val="99"/>
    <w:unhideWhenUsed/>
    <w:rsid w:val="00872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FB"/>
    <w:pPr>
      <w:ind w:left="720"/>
      <w:contextualSpacing/>
    </w:pPr>
  </w:style>
  <w:style w:type="paragraph" w:styleId="FootnoteText">
    <w:name w:val="footnote text"/>
    <w:basedOn w:val="Normal"/>
    <w:link w:val="FootnoteTextChar"/>
    <w:uiPriority w:val="99"/>
    <w:semiHidden/>
    <w:unhideWhenUsed/>
    <w:rsid w:val="00DA6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17"/>
    <w:rPr>
      <w:sz w:val="20"/>
      <w:szCs w:val="20"/>
    </w:rPr>
  </w:style>
  <w:style w:type="character" w:styleId="FootnoteReference">
    <w:name w:val="footnote reference"/>
    <w:basedOn w:val="DefaultParagraphFont"/>
    <w:uiPriority w:val="99"/>
    <w:semiHidden/>
    <w:unhideWhenUsed/>
    <w:rsid w:val="00DA6217"/>
    <w:rPr>
      <w:vertAlign w:val="superscript"/>
    </w:rPr>
  </w:style>
  <w:style w:type="paragraph" w:styleId="Header">
    <w:name w:val="header"/>
    <w:basedOn w:val="Normal"/>
    <w:link w:val="HeaderChar"/>
    <w:uiPriority w:val="99"/>
    <w:unhideWhenUsed/>
    <w:rsid w:val="00EC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67"/>
  </w:style>
  <w:style w:type="paragraph" w:styleId="Footer">
    <w:name w:val="footer"/>
    <w:basedOn w:val="Normal"/>
    <w:link w:val="FooterChar"/>
    <w:uiPriority w:val="99"/>
    <w:unhideWhenUsed/>
    <w:rsid w:val="00EC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67"/>
  </w:style>
  <w:style w:type="character" w:styleId="Hyperlink">
    <w:name w:val="Hyperlink"/>
    <w:basedOn w:val="DefaultParagraphFont"/>
    <w:uiPriority w:val="99"/>
    <w:unhideWhenUsed/>
    <w:rsid w:val="00872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matc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d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r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immel-law.com" TargetMode="External"/><Relationship Id="rId4" Type="http://schemas.microsoft.com/office/2007/relationships/stylesWithEffects" Target="stylesWithEffects.xml"/><Relationship Id="rId9" Type="http://schemas.openxmlformats.org/officeDocument/2006/relationships/hyperlink" Target="http://www.lawteache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5517-D438-4CF3-842A-044EDDE3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12</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ADENIJI OLUWATOSIN</dc:creator>
  <cp:lastModifiedBy>ADENIJI OLUWATOSIN</cp:lastModifiedBy>
  <cp:revision>14</cp:revision>
  <dcterms:created xsi:type="dcterms:W3CDTF">2021-01-20T20:28:00Z</dcterms:created>
  <dcterms:modified xsi:type="dcterms:W3CDTF">2021-01-27T11:19:00Z</dcterms:modified>
</cp:coreProperties>
</file>