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36" w:rsidRPr="00C477DF" w:rsidRDefault="007444E1" w:rsidP="00C477DF">
      <w:pPr>
        <w:spacing w:line="360" w:lineRule="auto"/>
        <w:rPr>
          <w:rFonts w:ascii="Times New Roman" w:hAnsi="Times New Roman" w:cs="Times New Roman"/>
          <w:b/>
          <w:sz w:val="32"/>
          <w:szCs w:val="32"/>
        </w:rPr>
      </w:pPr>
      <w:r w:rsidRPr="00C477DF">
        <w:rPr>
          <w:rFonts w:ascii="Times New Roman" w:hAnsi="Times New Roman" w:cs="Times New Roman"/>
          <w:b/>
          <w:sz w:val="32"/>
          <w:szCs w:val="32"/>
        </w:rPr>
        <w:t xml:space="preserve">NAME: ADEOYE DAMOLA EMMANUEL </w:t>
      </w:r>
    </w:p>
    <w:p w:rsidR="00F14262" w:rsidRPr="00C477DF" w:rsidRDefault="007444E1" w:rsidP="00C477DF">
      <w:pPr>
        <w:spacing w:line="360" w:lineRule="auto"/>
        <w:rPr>
          <w:rFonts w:ascii="Times New Roman" w:hAnsi="Times New Roman" w:cs="Times New Roman"/>
          <w:b/>
          <w:sz w:val="32"/>
          <w:szCs w:val="32"/>
        </w:rPr>
      </w:pPr>
      <w:r w:rsidRPr="00C477DF">
        <w:rPr>
          <w:rFonts w:ascii="Times New Roman" w:hAnsi="Times New Roman" w:cs="Times New Roman"/>
          <w:b/>
          <w:sz w:val="32"/>
          <w:szCs w:val="32"/>
        </w:rPr>
        <w:t>MATRIC NO:  18/LAW01/013</w:t>
      </w:r>
    </w:p>
    <w:p w:rsidR="00C477DF" w:rsidRDefault="00F14262" w:rsidP="00C477DF">
      <w:pPr>
        <w:spacing w:line="360" w:lineRule="auto"/>
        <w:rPr>
          <w:rFonts w:ascii="Times New Roman" w:hAnsi="Times New Roman" w:cs="Times New Roman"/>
          <w:b/>
          <w:sz w:val="32"/>
          <w:szCs w:val="32"/>
        </w:rPr>
      </w:pPr>
      <w:r w:rsidRPr="00C477DF">
        <w:rPr>
          <w:rFonts w:ascii="Times New Roman" w:hAnsi="Times New Roman" w:cs="Times New Roman"/>
          <w:b/>
          <w:sz w:val="32"/>
          <w:szCs w:val="32"/>
        </w:rPr>
        <w:t>COURSE CODE: LPB 301</w:t>
      </w:r>
    </w:p>
    <w:p w:rsidR="00F14262" w:rsidRPr="00C477DF" w:rsidRDefault="00E64DB5" w:rsidP="00C477DF">
      <w:pPr>
        <w:spacing w:line="360" w:lineRule="auto"/>
        <w:rPr>
          <w:rFonts w:ascii="Times New Roman" w:hAnsi="Times New Roman" w:cs="Times New Roman"/>
          <w:b/>
          <w:sz w:val="32"/>
          <w:szCs w:val="32"/>
        </w:rPr>
      </w:pPr>
      <w:r w:rsidRPr="00C477DF">
        <w:rPr>
          <w:rFonts w:ascii="Times New Roman" w:hAnsi="Times New Roman" w:cs="Times New Roman"/>
          <w:b/>
          <w:sz w:val="32"/>
          <w:szCs w:val="32"/>
        </w:rPr>
        <w:t>COURSE: LAW OF TORTS</w:t>
      </w:r>
      <w:r w:rsidR="00F14262" w:rsidRPr="00C477DF">
        <w:rPr>
          <w:rFonts w:ascii="Times New Roman" w:hAnsi="Times New Roman" w:cs="Times New Roman"/>
          <w:b/>
          <w:sz w:val="32"/>
          <w:szCs w:val="32"/>
        </w:rPr>
        <w:t xml:space="preserve"> </w:t>
      </w: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 xml:space="preserve">                                </w:t>
      </w:r>
      <w:r w:rsidR="00817F53">
        <w:rPr>
          <w:rFonts w:ascii="Times New Roman" w:hAnsi="Times New Roman" w:cs="Times New Roman"/>
          <w:sz w:val="24"/>
          <w:szCs w:val="24"/>
        </w:rPr>
        <w:t xml:space="preserve">        </w:t>
      </w: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8E23E6" w:rsidRDefault="008E23E6" w:rsidP="00577389">
      <w:pPr>
        <w:spacing w:line="360" w:lineRule="auto"/>
        <w:rPr>
          <w:rFonts w:ascii="Times New Roman" w:hAnsi="Times New Roman" w:cs="Times New Roman"/>
          <w:sz w:val="24"/>
          <w:szCs w:val="24"/>
        </w:rPr>
      </w:pPr>
    </w:p>
    <w:p w:rsidR="008E23E6" w:rsidRDefault="008E23E6" w:rsidP="00577389">
      <w:pPr>
        <w:spacing w:line="360" w:lineRule="auto"/>
        <w:rPr>
          <w:rFonts w:ascii="Times New Roman" w:hAnsi="Times New Roman" w:cs="Times New Roman"/>
          <w:sz w:val="24"/>
          <w:szCs w:val="24"/>
        </w:rPr>
      </w:pPr>
    </w:p>
    <w:p w:rsidR="008E23E6" w:rsidRDefault="008E23E6" w:rsidP="00577389">
      <w:pPr>
        <w:spacing w:line="360" w:lineRule="auto"/>
        <w:rPr>
          <w:rFonts w:ascii="Times New Roman" w:hAnsi="Times New Roman" w:cs="Times New Roman"/>
          <w:sz w:val="24"/>
          <w:szCs w:val="24"/>
        </w:rPr>
      </w:pPr>
    </w:p>
    <w:p w:rsidR="008E23E6" w:rsidRDefault="008E23E6" w:rsidP="00577389">
      <w:pPr>
        <w:spacing w:line="360" w:lineRule="auto"/>
        <w:rPr>
          <w:rFonts w:ascii="Times New Roman" w:hAnsi="Times New Roman" w:cs="Times New Roman"/>
          <w:sz w:val="24"/>
          <w:szCs w:val="24"/>
        </w:rPr>
      </w:pPr>
    </w:p>
    <w:p w:rsidR="008E23E6" w:rsidRDefault="008E23E6" w:rsidP="00577389">
      <w:pPr>
        <w:spacing w:line="360" w:lineRule="auto"/>
        <w:rPr>
          <w:rFonts w:ascii="Times New Roman" w:hAnsi="Times New Roman" w:cs="Times New Roman"/>
          <w:sz w:val="24"/>
          <w:szCs w:val="24"/>
        </w:rPr>
      </w:pPr>
    </w:p>
    <w:p w:rsidR="008E23E6" w:rsidRDefault="008E23E6" w:rsidP="00577389">
      <w:pPr>
        <w:spacing w:line="360" w:lineRule="auto"/>
        <w:rPr>
          <w:rFonts w:ascii="Times New Roman" w:hAnsi="Times New Roman" w:cs="Times New Roman"/>
          <w:sz w:val="24"/>
          <w:szCs w:val="24"/>
        </w:rPr>
      </w:pPr>
    </w:p>
    <w:p w:rsidR="008E23E6" w:rsidRDefault="008E23E6" w:rsidP="00577389">
      <w:pPr>
        <w:spacing w:line="360" w:lineRule="auto"/>
        <w:rPr>
          <w:rFonts w:ascii="Times New Roman" w:hAnsi="Times New Roman" w:cs="Times New Roman"/>
          <w:sz w:val="24"/>
          <w:szCs w:val="24"/>
        </w:rPr>
      </w:pPr>
    </w:p>
    <w:p w:rsidR="00F14262" w:rsidRPr="00744C2B" w:rsidRDefault="00C477DF" w:rsidP="00577389">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ANSWER:</w:t>
      </w:r>
    </w:p>
    <w:p w:rsidR="000A245B" w:rsidRPr="00C477DF" w:rsidRDefault="00C477DF" w:rsidP="0057738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A245B" w:rsidRPr="00C477DF">
        <w:rPr>
          <w:rFonts w:ascii="Times New Roman" w:hAnsi="Times New Roman" w:cs="Times New Roman"/>
          <w:sz w:val="28"/>
          <w:szCs w:val="28"/>
        </w:rPr>
        <w:t xml:space="preserve">A chattel is any property other than land and any immovable property. It is any movable property any article, goods or personal property other than land. A chattel </w:t>
      </w:r>
      <w:r w:rsidR="002D3E8F" w:rsidRPr="00C477DF">
        <w:rPr>
          <w:rFonts w:ascii="Times New Roman" w:hAnsi="Times New Roman" w:cs="Times New Roman"/>
          <w:sz w:val="28"/>
          <w:szCs w:val="28"/>
        </w:rPr>
        <w:t>is any movable thing which is capable owned, possessed, or controlled other than human beings, land and immovable property.</w:t>
      </w:r>
    </w:p>
    <w:p w:rsidR="002D3E8F" w:rsidRPr="00C477DF" w:rsidRDefault="00C477DF" w:rsidP="007444E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D3E8F" w:rsidRPr="00C477DF">
        <w:rPr>
          <w:rFonts w:ascii="Times New Roman" w:hAnsi="Times New Roman" w:cs="Times New Roman"/>
          <w:sz w:val="28"/>
          <w:szCs w:val="28"/>
        </w:rPr>
        <w:t>Trespass to chattel</w:t>
      </w:r>
      <w:r w:rsidR="002D3E8F" w:rsidRPr="00C477DF">
        <w:rPr>
          <w:rFonts w:ascii="Times New Roman" w:hAnsi="Times New Roman" w:cs="Times New Roman"/>
          <w:color w:val="111111"/>
          <w:sz w:val="28"/>
          <w:szCs w:val="28"/>
        </w:rPr>
        <w:t xml:space="preserve"> is a direct and unlawful injury done to the chattel in possession of </w:t>
      </w:r>
      <w:r w:rsidR="007444E1" w:rsidRPr="00C477DF">
        <w:rPr>
          <w:rFonts w:ascii="Times New Roman" w:hAnsi="Times New Roman" w:cs="Times New Roman"/>
          <w:color w:val="111111"/>
          <w:sz w:val="28"/>
          <w:szCs w:val="28"/>
        </w:rPr>
        <w:t>another person.</w:t>
      </w:r>
    </w:p>
    <w:p w:rsidR="0026561D" w:rsidRPr="00C477DF" w:rsidRDefault="00C477DF" w:rsidP="00577389">
      <w:pPr>
        <w:pStyle w:val="NormalWeb"/>
        <w:shd w:val="clear" w:color="auto" w:fill="FFFFFF"/>
        <w:spacing w:before="0" w:beforeAutospacing="0" w:after="420" w:afterAutospacing="0" w:line="360" w:lineRule="auto"/>
        <w:jc w:val="both"/>
        <w:rPr>
          <w:color w:val="111111"/>
          <w:sz w:val="28"/>
          <w:szCs w:val="28"/>
        </w:rPr>
      </w:pPr>
      <w:r>
        <w:rPr>
          <w:color w:val="111111"/>
          <w:sz w:val="28"/>
          <w:szCs w:val="28"/>
        </w:rPr>
        <w:t xml:space="preserve">                  </w:t>
      </w:r>
      <w:r w:rsidR="002D3E8F" w:rsidRPr="00C477DF">
        <w:rPr>
          <w:color w:val="111111"/>
          <w:sz w:val="28"/>
          <w:szCs w:val="28"/>
        </w:rPr>
        <w:t>A person who wants to sue in trespass to chattel can sue under trespass to goods, conversion and negligence that is involved in the commission of the trespass or conversion. These actions are substantiated by the provisions of the </w:t>
      </w:r>
      <w:r w:rsidR="002D3E8F" w:rsidRPr="00C477DF">
        <w:rPr>
          <w:rStyle w:val="Strong"/>
          <w:rFonts w:eastAsiaTheme="majorEastAsia"/>
          <w:b w:val="0"/>
          <w:color w:val="111111"/>
          <w:sz w:val="28"/>
          <w:szCs w:val="28"/>
        </w:rPr>
        <w:t xml:space="preserve">Torts (Interference </w:t>
      </w:r>
      <w:proofErr w:type="gramStart"/>
      <w:r w:rsidR="002D3E8F" w:rsidRPr="00C477DF">
        <w:rPr>
          <w:rStyle w:val="Strong"/>
          <w:rFonts w:eastAsiaTheme="majorEastAsia"/>
          <w:b w:val="0"/>
          <w:color w:val="111111"/>
          <w:sz w:val="28"/>
          <w:szCs w:val="28"/>
        </w:rPr>
        <w:t>With</w:t>
      </w:r>
      <w:proofErr w:type="gramEnd"/>
      <w:r w:rsidR="002D3E8F" w:rsidRPr="00C477DF">
        <w:rPr>
          <w:rStyle w:val="Strong"/>
          <w:rFonts w:eastAsiaTheme="majorEastAsia"/>
          <w:b w:val="0"/>
          <w:color w:val="111111"/>
          <w:sz w:val="28"/>
          <w:szCs w:val="28"/>
        </w:rPr>
        <w:t xml:space="preserve"> Goods) Act 1977</w:t>
      </w:r>
      <w:r w:rsidR="002D3E8F" w:rsidRPr="00C477DF">
        <w:rPr>
          <w:rStyle w:val="Strong"/>
          <w:rFonts w:eastAsiaTheme="majorEastAsia"/>
          <w:color w:val="111111"/>
          <w:sz w:val="28"/>
          <w:szCs w:val="28"/>
        </w:rPr>
        <w:t>.</w:t>
      </w:r>
      <w:r w:rsidR="002D3E8F" w:rsidRPr="00C477DF">
        <w:rPr>
          <w:color w:val="111111"/>
          <w:sz w:val="28"/>
          <w:szCs w:val="28"/>
        </w:rPr>
        <w:t> The act creates a new action called. “Wrongful interferenc</w:t>
      </w:r>
      <w:r w:rsidR="007444E1" w:rsidRPr="00C477DF">
        <w:rPr>
          <w:color w:val="111111"/>
          <w:sz w:val="28"/>
          <w:szCs w:val="28"/>
        </w:rPr>
        <w:t xml:space="preserve">e with goods”. </w:t>
      </w:r>
      <w:r w:rsidR="0011282C" w:rsidRPr="00C477DF">
        <w:rPr>
          <w:color w:val="111111"/>
          <w:sz w:val="28"/>
          <w:szCs w:val="28"/>
        </w:rPr>
        <w:t xml:space="preserve"> </w:t>
      </w:r>
    </w:p>
    <w:p w:rsidR="00744C2B" w:rsidRPr="00C477DF" w:rsidRDefault="00C477DF" w:rsidP="00577389">
      <w:pPr>
        <w:pStyle w:val="NormalWeb"/>
        <w:shd w:val="clear" w:color="auto" w:fill="FFFFFF"/>
        <w:spacing w:before="0" w:beforeAutospacing="0" w:after="420" w:afterAutospacing="0" w:line="360" w:lineRule="auto"/>
        <w:jc w:val="both"/>
        <w:rPr>
          <w:sz w:val="28"/>
          <w:szCs w:val="28"/>
        </w:rPr>
      </w:pPr>
      <w:r>
        <w:rPr>
          <w:sz w:val="28"/>
          <w:szCs w:val="28"/>
        </w:rPr>
        <w:t xml:space="preserve">                   </w:t>
      </w:r>
      <w:r w:rsidR="0026561D" w:rsidRPr="00C477DF">
        <w:rPr>
          <w:sz w:val="28"/>
          <w:szCs w:val="28"/>
        </w:rPr>
        <w:t>The tort of trespass to chattels protects all the chattel, goods, or personal properties of a person who has title or possession by prohibiting all interference without legal justification. The tort of trespass to chattel protects the rights of ownership or possession of a chattel from all wrongful</w:t>
      </w:r>
      <w:r w:rsidR="008E23E6">
        <w:rPr>
          <w:sz w:val="28"/>
          <w:szCs w:val="28"/>
        </w:rPr>
        <w:t xml:space="preserve"> </w:t>
      </w:r>
      <w:r w:rsidR="008E23E6" w:rsidRPr="00C477DF">
        <w:rPr>
          <w:sz w:val="28"/>
          <w:szCs w:val="28"/>
        </w:rPr>
        <w:t>Interferences</w:t>
      </w:r>
    </w:p>
    <w:p w:rsidR="0026561D" w:rsidRPr="00C477DF" w:rsidRDefault="008E23E6" w:rsidP="00577389">
      <w:pPr>
        <w:pStyle w:val="NormalWeb"/>
        <w:shd w:val="clear" w:color="auto" w:fill="FFFFFF"/>
        <w:spacing w:before="0" w:beforeAutospacing="0" w:after="420" w:afterAutospacing="0" w:line="360" w:lineRule="auto"/>
        <w:jc w:val="both"/>
        <w:rPr>
          <w:sz w:val="28"/>
          <w:szCs w:val="28"/>
        </w:rPr>
      </w:pPr>
      <w:r>
        <w:rPr>
          <w:sz w:val="28"/>
          <w:szCs w:val="28"/>
        </w:rPr>
        <w:t xml:space="preserve">                      </w:t>
      </w:r>
      <w:r w:rsidR="0026561D" w:rsidRPr="00C477DF">
        <w:rPr>
          <w:sz w:val="28"/>
          <w:szCs w:val="28"/>
        </w:rPr>
        <w:t>Thus, the tort of trespass to chattel protects the chattels, goods, and all personal properties of a person who has title, possession, or right to immediate possession against meddling, damage, destruction, diminution, conversion, detinue, or any interference whatsoever, by any other person without lawful justification.</w:t>
      </w:r>
    </w:p>
    <w:p w:rsidR="0026561D" w:rsidRPr="00C477DF" w:rsidRDefault="008E23E6" w:rsidP="00577389">
      <w:pPr>
        <w:pStyle w:val="NormalWeb"/>
        <w:shd w:val="clear" w:color="auto" w:fill="FFFFFF"/>
        <w:spacing w:before="0" w:beforeAutospacing="0" w:after="420" w:afterAutospacing="0" w:line="360" w:lineRule="auto"/>
        <w:jc w:val="both"/>
        <w:rPr>
          <w:sz w:val="28"/>
          <w:szCs w:val="28"/>
        </w:rPr>
      </w:pPr>
      <w:r>
        <w:rPr>
          <w:sz w:val="28"/>
          <w:szCs w:val="28"/>
        </w:rPr>
        <w:t xml:space="preserve">                    </w:t>
      </w:r>
      <w:r w:rsidR="0026561D" w:rsidRPr="00C477DF">
        <w:rPr>
          <w:sz w:val="28"/>
          <w:szCs w:val="28"/>
        </w:rPr>
        <w:t xml:space="preserve">Trespass to Chattel in Nigeria in Nigeria, the tort of trespass to chattel is made up of three types of torts. These are: </w:t>
      </w:r>
    </w:p>
    <w:p w:rsidR="0026561D" w:rsidRPr="00C477DF" w:rsidRDefault="0026561D" w:rsidP="008E23E6">
      <w:pPr>
        <w:pStyle w:val="NormalWeb"/>
        <w:shd w:val="clear" w:color="auto" w:fill="FFFFFF"/>
        <w:spacing w:before="0" w:beforeAutospacing="0" w:after="420" w:afterAutospacing="0" w:line="276" w:lineRule="auto"/>
        <w:jc w:val="both"/>
        <w:rPr>
          <w:color w:val="111111"/>
          <w:sz w:val="28"/>
          <w:szCs w:val="28"/>
        </w:rPr>
      </w:pPr>
      <w:r w:rsidRPr="00C477DF">
        <w:rPr>
          <w:sz w:val="28"/>
          <w:szCs w:val="28"/>
        </w:rPr>
        <w:lastRenderedPageBreak/>
        <w:t>1. Trespass to chattels per se, without a conversion or a detinue of the chattel in question;</w:t>
      </w:r>
    </w:p>
    <w:p w:rsidR="002D3E8F" w:rsidRPr="00C477DF" w:rsidRDefault="0026561D" w:rsidP="008E23E6">
      <w:pPr>
        <w:spacing w:line="276" w:lineRule="auto"/>
        <w:rPr>
          <w:rFonts w:ascii="Times New Roman" w:hAnsi="Times New Roman" w:cs="Times New Roman"/>
          <w:sz w:val="28"/>
          <w:szCs w:val="28"/>
        </w:rPr>
      </w:pPr>
      <w:r w:rsidRPr="00C477DF">
        <w:rPr>
          <w:rFonts w:ascii="Times New Roman" w:hAnsi="Times New Roman" w:cs="Times New Roman"/>
          <w:sz w:val="28"/>
          <w:szCs w:val="28"/>
        </w:rPr>
        <w:t>2. Conversion</w:t>
      </w:r>
    </w:p>
    <w:p w:rsidR="0026561D" w:rsidRPr="00C477DF" w:rsidRDefault="0026561D" w:rsidP="008E23E6">
      <w:pPr>
        <w:spacing w:line="276" w:lineRule="auto"/>
        <w:rPr>
          <w:rFonts w:ascii="Times New Roman" w:hAnsi="Times New Roman" w:cs="Times New Roman"/>
          <w:sz w:val="28"/>
          <w:szCs w:val="28"/>
        </w:rPr>
      </w:pPr>
      <w:r w:rsidRPr="00C477DF">
        <w:rPr>
          <w:rFonts w:ascii="Times New Roman" w:hAnsi="Times New Roman" w:cs="Times New Roman"/>
          <w:sz w:val="28"/>
          <w:szCs w:val="28"/>
        </w:rPr>
        <w:t>3. Detinue.</w:t>
      </w:r>
    </w:p>
    <w:p w:rsidR="0026561D" w:rsidRPr="00C477DF" w:rsidRDefault="0026561D" w:rsidP="00577389">
      <w:pPr>
        <w:spacing w:line="360" w:lineRule="auto"/>
        <w:rPr>
          <w:rFonts w:ascii="Times New Roman" w:hAnsi="Times New Roman" w:cs="Times New Roman"/>
          <w:sz w:val="28"/>
          <w:szCs w:val="28"/>
        </w:rPr>
      </w:pPr>
    </w:p>
    <w:p w:rsidR="00285E4B" w:rsidRPr="00C477DF" w:rsidRDefault="008E23E6" w:rsidP="0057738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85E4B" w:rsidRPr="00C477DF">
        <w:rPr>
          <w:rFonts w:ascii="Times New Roman" w:hAnsi="Times New Roman" w:cs="Times New Roman"/>
          <w:sz w:val="28"/>
          <w:szCs w:val="28"/>
        </w:rPr>
        <w:t xml:space="preserve">Examples of Trespass to Chattel Trespass to chattel may be committed in many different ways. However, the trespass must be intentional or negligent. </w:t>
      </w:r>
      <w:r>
        <w:rPr>
          <w:rFonts w:ascii="Times New Roman" w:hAnsi="Times New Roman" w:cs="Times New Roman"/>
          <w:sz w:val="28"/>
          <w:szCs w:val="28"/>
        </w:rPr>
        <w:t xml:space="preserve">                  </w:t>
      </w:r>
      <w:r w:rsidR="00285E4B" w:rsidRPr="00C477DF">
        <w:rPr>
          <w:rFonts w:ascii="Times New Roman" w:hAnsi="Times New Roman" w:cs="Times New Roman"/>
          <w:sz w:val="28"/>
          <w:szCs w:val="28"/>
        </w:rPr>
        <w:t xml:space="preserve">Trespass may be committed by mere removal or any damage and it can be committed when there is no intention to deprive the owner, possessor or custodian permanently of the chattel. Examples of trespass to chattel include: </w:t>
      </w:r>
    </w:p>
    <w:p w:rsidR="00285E4B" w:rsidRPr="00C477DF" w:rsidRDefault="00285E4B" w:rsidP="00577389">
      <w:pPr>
        <w:spacing w:line="360" w:lineRule="auto"/>
        <w:rPr>
          <w:rFonts w:ascii="Times New Roman" w:hAnsi="Times New Roman" w:cs="Times New Roman"/>
          <w:sz w:val="28"/>
          <w:szCs w:val="28"/>
        </w:rPr>
      </w:pPr>
      <w:r w:rsidRPr="00C477DF">
        <w:rPr>
          <w:rFonts w:ascii="Times New Roman" w:hAnsi="Times New Roman" w:cs="Times New Roman"/>
          <w:sz w:val="28"/>
          <w:szCs w:val="28"/>
        </w:rPr>
        <w:t>1. Taking a chattel away</w:t>
      </w:r>
    </w:p>
    <w:p w:rsidR="00285E4B" w:rsidRPr="00C477DF" w:rsidRDefault="00285E4B" w:rsidP="00577389">
      <w:pPr>
        <w:spacing w:line="360" w:lineRule="auto"/>
        <w:rPr>
          <w:rFonts w:ascii="Times New Roman" w:hAnsi="Times New Roman" w:cs="Times New Roman"/>
          <w:sz w:val="28"/>
          <w:szCs w:val="28"/>
        </w:rPr>
      </w:pPr>
      <w:r w:rsidRPr="00C477DF">
        <w:rPr>
          <w:rFonts w:ascii="Times New Roman" w:hAnsi="Times New Roman" w:cs="Times New Roman"/>
          <w:sz w:val="28"/>
          <w:szCs w:val="28"/>
        </w:rPr>
        <w:t xml:space="preserve"> 2. Throwing another person's property away, such as in annoyance</w:t>
      </w:r>
    </w:p>
    <w:p w:rsidR="00285E4B" w:rsidRPr="00C477DF" w:rsidRDefault="00285E4B" w:rsidP="00577389">
      <w:pPr>
        <w:spacing w:line="360" w:lineRule="auto"/>
        <w:rPr>
          <w:rFonts w:ascii="Times New Roman" w:hAnsi="Times New Roman" w:cs="Times New Roman"/>
          <w:sz w:val="28"/>
          <w:szCs w:val="28"/>
        </w:rPr>
      </w:pPr>
      <w:r w:rsidRPr="00C477DF">
        <w:rPr>
          <w:rFonts w:ascii="Times New Roman" w:hAnsi="Times New Roman" w:cs="Times New Roman"/>
          <w:sz w:val="28"/>
          <w:szCs w:val="28"/>
        </w:rPr>
        <w:t xml:space="preserve"> 3. </w:t>
      </w:r>
      <w:r w:rsidR="008E23E6" w:rsidRPr="00C477DF">
        <w:rPr>
          <w:rFonts w:ascii="Times New Roman" w:hAnsi="Times New Roman" w:cs="Times New Roman"/>
          <w:sz w:val="28"/>
          <w:szCs w:val="28"/>
        </w:rPr>
        <w:t>Scratching or making marks on the body of the chattel, or writing with finger in the dust on the body of a motor</w:t>
      </w:r>
      <w:r w:rsidRPr="00C477DF">
        <w:rPr>
          <w:rFonts w:ascii="Times New Roman" w:hAnsi="Times New Roman" w:cs="Times New Roman"/>
          <w:sz w:val="28"/>
          <w:szCs w:val="28"/>
        </w:rPr>
        <w:t xml:space="preserve">. </w:t>
      </w:r>
    </w:p>
    <w:p w:rsidR="00285E4B" w:rsidRPr="00C477DF" w:rsidRDefault="00285E4B" w:rsidP="00577389">
      <w:pPr>
        <w:spacing w:line="360" w:lineRule="auto"/>
        <w:rPr>
          <w:rFonts w:ascii="Times New Roman" w:hAnsi="Times New Roman" w:cs="Times New Roman"/>
          <w:sz w:val="28"/>
          <w:szCs w:val="28"/>
        </w:rPr>
      </w:pPr>
      <w:r w:rsidRPr="00C477DF">
        <w:rPr>
          <w:rFonts w:ascii="Times New Roman" w:hAnsi="Times New Roman" w:cs="Times New Roman"/>
          <w:sz w:val="28"/>
          <w:szCs w:val="28"/>
        </w:rPr>
        <w:t xml:space="preserve">4. </w:t>
      </w:r>
      <w:proofErr w:type="gramStart"/>
      <w:r w:rsidR="008E23E6" w:rsidRPr="00C477DF">
        <w:rPr>
          <w:rFonts w:ascii="Times New Roman" w:hAnsi="Times New Roman" w:cs="Times New Roman"/>
          <w:sz w:val="28"/>
          <w:szCs w:val="28"/>
        </w:rPr>
        <w:t>vehicle</w:t>
      </w:r>
      <w:proofErr w:type="gramEnd"/>
      <w:r w:rsidR="008E23E6" w:rsidRPr="00C477DF">
        <w:rPr>
          <w:rFonts w:ascii="Times New Roman" w:hAnsi="Times New Roman" w:cs="Times New Roman"/>
          <w:sz w:val="28"/>
          <w:szCs w:val="28"/>
        </w:rPr>
        <w:t xml:space="preserve"> Mere moving of the goods from one place to another, that is, mere exportation.  </w:t>
      </w:r>
      <w:r w:rsidR="008E23E6">
        <w:rPr>
          <w:rFonts w:ascii="Times New Roman" w:hAnsi="Times New Roman" w:cs="Times New Roman"/>
          <w:sz w:val="28"/>
          <w:szCs w:val="28"/>
        </w:rPr>
        <w:t xml:space="preserve">KIRK v GREGOR </w:t>
      </w:r>
      <w:r w:rsidR="008E23E6" w:rsidRPr="00C477DF">
        <w:rPr>
          <w:rFonts w:ascii="Times New Roman" w:hAnsi="Times New Roman" w:cs="Times New Roman"/>
          <w:sz w:val="28"/>
          <w:szCs w:val="28"/>
        </w:rPr>
        <w:t>(1878)</w:t>
      </w:r>
    </w:p>
    <w:p w:rsidR="00285E4B" w:rsidRPr="00C477DF" w:rsidRDefault="00285E4B" w:rsidP="00577389">
      <w:pPr>
        <w:spacing w:line="360" w:lineRule="auto"/>
        <w:rPr>
          <w:rFonts w:ascii="Times New Roman" w:hAnsi="Times New Roman" w:cs="Times New Roman"/>
          <w:sz w:val="28"/>
          <w:szCs w:val="28"/>
        </w:rPr>
      </w:pPr>
      <w:r w:rsidRPr="00C477DF">
        <w:rPr>
          <w:rFonts w:ascii="Times New Roman" w:hAnsi="Times New Roman" w:cs="Times New Roman"/>
          <w:sz w:val="28"/>
          <w:szCs w:val="28"/>
        </w:rPr>
        <w:t xml:space="preserve"> 5. Killing another person's animal, feeding poison to it or beating it. </w:t>
      </w:r>
      <w:r w:rsidR="008E23E6">
        <w:rPr>
          <w:rFonts w:ascii="Times New Roman" w:hAnsi="Times New Roman" w:cs="Times New Roman"/>
          <w:sz w:val="28"/>
          <w:szCs w:val="28"/>
        </w:rPr>
        <w:t>SHIELDRICK V ABERY.</w:t>
      </w:r>
    </w:p>
    <w:p w:rsidR="00285E4B" w:rsidRPr="00C477DF" w:rsidRDefault="00285E4B" w:rsidP="00577389">
      <w:pPr>
        <w:spacing w:line="360" w:lineRule="auto"/>
        <w:rPr>
          <w:rFonts w:ascii="Times New Roman" w:hAnsi="Times New Roman" w:cs="Times New Roman"/>
          <w:sz w:val="28"/>
          <w:szCs w:val="28"/>
        </w:rPr>
      </w:pPr>
    </w:p>
    <w:p w:rsidR="00285E4B" w:rsidRPr="00C477DF" w:rsidRDefault="008E23E6" w:rsidP="0057738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85E4B" w:rsidRPr="00C477DF">
        <w:rPr>
          <w:rFonts w:ascii="Times New Roman" w:hAnsi="Times New Roman" w:cs="Times New Roman"/>
          <w:sz w:val="28"/>
          <w:szCs w:val="28"/>
        </w:rPr>
        <w:t xml:space="preserve">Elements of Trespass to Chattel: What a Plaintiff Must Prove To Succeed to succeed, a plaintiff must establish that the act of trespass was: </w:t>
      </w:r>
    </w:p>
    <w:p w:rsidR="00285E4B" w:rsidRPr="00C477DF" w:rsidRDefault="00285E4B" w:rsidP="00577389">
      <w:pPr>
        <w:spacing w:line="360" w:lineRule="auto"/>
        <w:rPr>
          <w:rFonts w:ascii="Times New Roman" w:hAnsi="Times New Roman" w:cs="Times New Roman"/>
          <w:sz w:val="28"/>
          <w:szCs w:val="28"/>
        </w:rPr>
      </w:pPr>
      <w:r w:rsidRPr="00C477DF">
        <w:rPr>
          <w:rFonts w:ascii="Times New Roman" w:hAnsi="Times New Roman" w:cs="Times New Roman"/>
          <w:sz w:val="28"/>
          <w:szCs w:val="28"/>
        </w:rPr>
        <w:t>1. Intentional.</w:t>
      </w:r>
    </w:p>
    <w:p w:rsidR="00EF2830" w:rsidRPr="00C477DF" w:rsidRDefault="00285E4B" w:rsidP="00577389">
      <w:pPr>
        <w:spacing w:line="360" w:lineRule="auto"/>
        <w:rPr>
          <w:rFonts w:ascii="Times New Roman" w:hAnsi="Times New Roman" w:cs="Times New Roman"/>
          <w:sz w:val="28"/>
          <w:szCs w:val="28"/>
        </w:rPr>
      </w:pPr>
      <w:r w:rsidRPr="00C477DF">
        <w:rPr>
          <w:rFonts w:ascii="Times New Roman" w:hAnsi="Times New Roman" w:cs="Times New Roman"/>
          <w:sz w:val="28"/>
          <w:szCs w:val="28"/>
        </w:rPr>
        <w:lastRenderedPageBreak/>
        <w:t xml:space="preserve"> 2. Negligent.  </w:t>
      </w:r>
      <w:r w:rsidRPr="00C477DF">
        <w:rPr>
          <w:rFonts w:ascii="Times New Roman" w:hAnsi="Times New Roman" w:cs="Times New Roman"/>
          <w:b/>
          <w:sz w:val="28"/>
          <w:szCs w:val="28"/>
        </w:rPr>
        <w:t>National Coal Board v Evans &amp; Co. (1951)</w:t>
      </w:r>
      <w:r w:rsidRPr="00C477DF">
        <w:rPr>
          <w:rFonts w:ascii="Times New Roman" w:hAnsi="Times New Roman" w:cs="Times New Roman"/>
          <w:sz w:val="28"/>
          <w:szCs w:val="28"/>
        </w:rPr>
        <w:t>. As a general rule, proving intention or negligence is very important as trespass to chattel is not a strict liability tort. However, accident, intentional or negligent trespass do not automatically give rise to liability per se, as an appropriate defense, may be pleaded to avoid liability.</w:t>
      </w:r>
    </w:p>
    <w:p w:rsidR="00EF2830" w:rsidRPr="00C477DF" w:rsidRDefault="00EF2830" w:rsidP="00577389">
      <w:pPr>
        <w:spacing w:line="360" w:lineRule="auto"/>
        <w:rPr>
          <w:rFonts w:ascii="Times New Roman" w:hAnsi="Times New Roman" w:cs="Times New Roman"/>
          <w:b/>
          <w:sz w:val="28"/>
          <w:szCs w:val="28"/>
        </w:rPr>
      </w:pPr>
      <w:r w:rsidRPr="00C477DF">
        <w:rPr>
          <w:rFonts w:ascii="Times New Roman" w:hAnsi="Times New Roman" w:cs="Times New Roman"/>
          <w:b/>
          <w:sz w:val="28"/>
          <w:szCs w:val="28"/>
        </w:rPr>
        <w:t xml:space="preserve">Persons who may sue for trespass to chattel. </w:t>
      </w:r>
    </w:p>
    <w:p w:rsidR="00285E4B" w:rsidRPr="00C477DF" w:rsidRDefault="00EF2830" w:rsidP="00577389">
      <w:pPr>
        <w:spacing w:line="360" w:lineRule="auto"/>
        <w:rPr>
          <w:rFonts w:ascii="Times New Roman" w:hAnsi="Times New Roman" w:cs="Times New Roman"/>
          <w:sz w:val="28"/>
          <w:szCs w:val="28"/>
        </w:rPr>
      </w:pPr>
      <w:r w:rsidRPr="00C477DF">
        <w:rPr>
          <w:rFonts w:ascii="Times New Roman" w:hAnsi="Times New Roman" w:cs="Times New Roman"/>
          <w:sz w:val="28"/>
          <w:szCs w:val="28"/>
        </w:rPr>
        <w:t xml:space="preserve">The Persons Who May Sue for Trespass to Chattel Anyone who has possession or caretakership of a chattel may sue any other person who meddles with the chattel. </w:t>
      </w:r>
      <w:r w:rsidR="008E23E6">
        <w:rPr>
          <w:rFonts w:ascii="Times New Roman" w:hAnsi="Times New Roman" w:cs="Times New Roman"/>
          <w:sz w:val="28"/>
          <w:szCs w:val="28"/>
        </w:rPr>
        <w:t xml:space="preserve">         </w:t>
      </w:r>
      <w:r w:rsidRPr="00C477DF">
        <w:rPr>
          <w:rFonts w:ascii="Times New Roman" w:hAnsi="Times New Roman" w:cs="Times New Roman"/>
          <w:sz w:val="28"/>
          <w:szCs w:val="28"/>
        </w:rPr>
        <w:t>This is so for the object of the tort of trespass is to 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w:t>
      </w:r>
    </w:p>
    <w:p w:rsidR="00115AFB" w:rsidRPr="00C477DF" w:rsidRDefault="00115AFB" w:rsidP="00577389">
      <w:pPr>
        <w:pStyle w:val="ListParagraph"/>
        <w:numPr>
          <w:ilvl w:val="0"/>
          <w:numId w:val="1"/>
        </w:numPr>
        <w:spacing w:line="360" w:lineRule="auto"/>
        <w:rPr>
          <w:rFonts w:ascii="Times New Roman" w:hAnsi="Times New Roman" w:cs="Times New Roman"/>
          <w:sz w:val="28"/>
          <w:szCs w:val="28"/>
        </w:rPr>
      </w:pPr>
      <w:r w:rsidRPr="00C477DF">
        <w:rPr>
          <w:rFonts w:ascii="Times New Roman" w:hAnsi="Times New Roman" w:cs="Times New Roman"/>
          <w:sz w:val="28"/>
          <w:szCs w:val="28"/>
        </w:rPr>
        <w:t>Owners</w:t>
      </w:r>
    </w:p>
    <w:p w:rsidR="00EF2830" w:rsidRPr="00C477DF" w:rsidRDefault="00EF2830" w:rsidP="00577389">
      <w:pPr>
        <w:pStyle w:val="ListParagraph"/>
        <w:numPr>
          <w:ilvl w:val="0"/>
          <w:numId w:val="1"/>
        </w:numPr>
        <w:spacing w:line="360" w:lineRule="auto"/>
        <w:rPr>
          <w:rFonts w:ascii="Times New Roman" w:hAnsi="Times New Roman" w:cs="Times New Roman"/>
          <w:sz w:val="28"/>
          <w:szCs w:val="28"/>
        </w:rPr>
      </w:pPr>
      <w:r w:rsidRPr="00C477DF">
        <w:rPr>
          <w:rFonts w:ascii="Times New Roman" w:hAnsi="Times New Roman" w:cs="Times New Roman"/>
          <w:sz w:val="28"/>
          <w:szCs w:val="28"/>
        </w:rPr>
        <w:t>Bailee</w:t>
      </w:r>
    </w:p>
    <w:p w:rsidR="00EF2830" w:rsidRPr="00C477DF" w:rsidRDefault="00EF2830" w:rsidP="00577389">
      <w:pPr>
        <w:pStyle w:val="ListParagraph"/>
        <w:numPr>
          <w:ilvl w:val="0"/>
          <w:numId w:val="1"/>
        </w:numPr>
        <w:spacing w:line="360" w:lineRule="auto"/>
        <w:rPr>
          <w:rFonts w:ascii="Times New Roman" w:hAnsi="Times New Roman" w:cs="Times New Roman"/>
          <w:sz w:val="28"/>
          <w:szCs w:val="28"/>
        </w:rPr>
      </w:pPr>
      <w:r w:rsidRPr="00C477DF">
        <w:rPr>
          <w:rFonts w:ascii="Times New Roman" w:hAnsi="Times New Roman" w:cs="Times New Roman"/>
          <w:sz w:val="28"/>
          <w:szCs w:val="28"/>
        </w:rPr>
        <w:t xml:space="preserve">Lenders </w:t>
      </w:r>
    </w:p>
    <w:p w:rsidR="00EF2830" w:rsidRPr="00C477DF" w:rsidRDefault="00EF2830" w:rsidP="00577389">
      <w:pPr>
        <w:pStyle w:val="ListParagraph"/>
        <w:numPr>
          <w:ilvl w:val="0"/>
          <w:numId w:val="1"/>
        </w:numPr>
        <w:spacing w:line="360" w:lineRule="auto"/>
        <w:rPr>
          <w:rFonts w:ascii="Times New Roman" w:hAnsi="Times New Roman" w:cs="Times New Roman"/>
          <w:sz w:val="28"/>
          <w:szCs w:val="28"/>
        </w:rPr>
      </w:pPr>
      <w:r w:rsidRPr="00C477DF">
        <w:rPr>
          <w:rFonts w:ascii="Times New Roman" w:hAnsi="Times New Roman" w:cs="Times New Roman"/>
          <w:sz w:val="28"/>
          <w:szCs w:val="28"/>
        </w:rPr>
        <w:t xml:space="preserve">Assignees </w:t>
      </w:r>
    </w:p>
    <w:p w:rsidR="00EF2830" w:rsidRPr="00C477DF" w:rsidRDefault="00EF2830" w:rsidP="00577389">
      <w:pPr>
        <w:pStyle w:val="ListParagraph"/>
        <w:numPr>
          <w:ilvl w:val="0"/>
          <w:numId w:val="1"/>
        </w:numPr>
        <w:spacing w:line="360" w:lineRule="auto"/>
        <w:rPr>
          <w:rFonts w:ascii="Times New Roman" w:hAnsi="Times New Roman" w:cs="Times New Roman"/>
          <w:sz w:val="28"/>
          <w:szCs w:val="28"/>
        </w:rPr>
      </w:pPr>
      <w:r w:rsidRPr="00C477DF">
        <w:rPr>
          <w:rFonts w:ascii="Times New Roman" w:hAnsi="Times New Roman" w:cs="Times New Roman"/>
          <w:sz w:val="28"/>
          <w:szCs w:val="28"/>
        </w:rPr>
        <w:t>Trustees and more.</w:t>
      </w:r>
    </w:p>
    <w:p w:rsidR="00EF2830" w:rsidRPr="00C477DF" w:rsidRDefault="00EF2830"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In National Coal Board v Evans &amp; Co. (supra), the defendant contractors were employed by a county council to work on land owned by the defendant council. A trench had to be dug, which the defendants employed a sub-contractor to do. An electric cable passed under the land, but neither the council, nor Evan &amp; Co. </w:t>
      </w:r>
      <w:r w:rsidRPr="00C477DF">
        <w:rPr>
          <w:rFonts w:ascii="Times New Roman" w:hAnsi="Times New Roman" w:cs="Times New Roman"/>
          <w:sz w:val="28"/>
          <w:szCs w:val="28"/>
        </w:rPr>
        <w:lastRenderedPageBreak/>
        <w:t>who were head contractors, nor the sub-contractors knew this, and the cable was not marked on any available map. During excavation, a mechanical digger damaged the cable and water seeped into it causing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w:t>
      </w:r>
    </w:p>
    <w:p w:rsidR="00EF2830" w:rsidRPr="00C477DF" w:rsidRDefault="00EF2830" w:rsidP="00577389">
      <w:pPr>
        <w:spacing w:line="360" w:lineRule="auto"/>
        <w:rPr>
          <w:rFonts w:ascii="Times New Roman" w:hAnsi="Times New Roman" w:cs="Times New Roman"/>
          <w:sz w:val="28"/>
          <w:szCs w:val="28"/>
        </w:rPr>
      </w:pPr>
      <w:r w:rsidRPr="00C477DF">
        <w:rPr>
          <w:rFonts w:ascii="Times New Roman" w:hAnsi="Times New Roman" w:cs="Times New Roman"/>
          <w:sz w:val="28"/>
          <w:szCs w:val="28"/>
        </w:rPr>
        <w:t xml:space="preserve">The </w:t>
      </w:r>
      <w:proofErr w:type="spellStart"/>
      <w:r w:rsidRPr="00C477DF">
        <w:rPr>
          <w:rFonts w:ascii="Times New Roman" w:hAnsi="Times New Roman" w:cs="Times New Roman"/>
          <w:sz w:val="28"/>
          <w:szCs w:val="28"/>
        </w:rPr>
        <w:t>Defences</w:t>
      </w:r>
      <w:proofErr w:type="spellEnd"/>
      <w:r w:rsidRPr="00C477DF">
        <w:rPr>
          <w:rFonts w:ascii="Times New Roman" w:hAnsi="Times New Roman" w:cs="Times New Roman"/>
          <w:sz w:val="28"/>
          <w:szCs w:val="28"/>
        </w:rPr>
        <w:t xml:space="preserve"> for Trespass to Chattel</w:t>
      </w:r>
      <w:r w:rsidR="00810F51" w:rsidRPr="00C477DF">
        <w:rPr>
          <w:rFonts w:ascii="Times New Roman" w:hAnsi="Times New Roman" w:cs="Times New Roman"/>
          <w:sz w:val="28"/>
          <w:szCs w:val="28"/>
        </w:rPr>
        <w:t>:</w:t>
      </w:r>
      <w:r w:rsidRPr="00C477DF">
        <w:rPr>
          <w:rFonts w:ascii="Times New Roman" w:hAnsi="Times New Roman" w:cs="Times New Roman"/>
          <w:sz w:val="28"/>
          <w:szCs w:val="28"/>
        </w:rPr>
        <w:t xml:space="preserve"> In an action for trespass to chattel, the defences a defendant may plead include:</w:t>
      </w:r>
    </w:p>
    <w:p w:rsidR="00EF2830" w:rsidRPr="00C477DF" w:rsidRDefault="00EF2830"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1. Inevitable accident </w:t>
      </w:r>
    </w:p>
    <w:p w:rsidR="00810F51" w:rsidRPr="00C477DF" w:rsidRDefault="00EF2830" w:rsidP="00577389">
      <w:pPr>
        <w:spacing w:line="360" w:lineRule="auto"/>
        <w:ind w:left="360"/>
        <w:rPr>
          <w:rFonts w:ascii="Times New Roman" w:hAnsi="Times New Roman" w:cs="Times New Roman"/>
          <w:b/>
          <w:sz w:val="28"/>
          <w:szCs w:val="28"/>
        </w:rPr>
      </w:pPr>
      <w:r w:rsidRPr="00C477DF">
        <w:rPr>
          <w:rFonts w:ascii="Times New Roman" w:hAnsi="Times New Roman" w:cs="Times New Roman"/>
          <w:sz w:val="28"/>
          <w:szCs w:val="28"/>
        </w:rPr>
        <w:t>2. Jus tertii, that is, the title, or better right of a third party, provided that he has the aut</w:t>
      </w:r>
      <w:r w:rsidR="00810F51" w:rsidRPr="00C477DF">
        <w:rPr>
          <w:rFonts w:ascii="Times New Roman" w:hAnsi="Times New Roman" w:cs="Times New Roman"/>
          <w:sz w:val="28"/>
          <w:szCs w:val="28"/>
        </w:rPr>
        <w:t xml:space="preserve">hority of such third party. </w:t>
      </w:r>
      <w:r w:rsidRPr="00C477DF">
        <w:rPr>
          <w:rFonts w:ascii="Times New Roman" w:hAnsi="Times New Roman" w:cs="Times New Roman"/>
          <w:b/>
          <w:sz w:val="28"/>
          <w:szCs w:val="28"/>
        </w:rPr>
        <w:t xml:space="preserve">C.O.P. v Oguntayo (1993) 6 NWLR pt. 299, p. 259 SC. </w:t>
      </w:r>
    </w:p>
    <w:p w:rsidR="00810F51" w:rsidRPr="00C477DF" w:rsidRDefault="00EF2830"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3. Subsisting lien.</w:t>
      </w:r>
    </w:p>
    <w:p w:rsidR="00810F51" w:rsidRPr="00C477DF" w:rsidRDefault="00EF2830"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4. Subsisting bailment </w:t>
      </w:r>
    </w:p>
    <w:p w:rsidR="00EF2830" w:rsidRPr="00C477DF" w:rsidRDefault="00EF2830"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5. Limitation of time, as a result of the expiration of time specified for legal action.</w:t>
      </w:r>
    </w:p>
    <w:p w:rsidR="00810F51" w:rsidRPr="00C477DF" w:rsidRDefault="00810F51" w:rsidP="00577389">
      <w:pPr>
        <w:spacing w:line="360" w:lineRule="auto"/>
        <w:ind w:left="360"/>
        <w:rPr>
          <w:rFonts w:ascii="Times New Roman" w:hAnsi="Times New Roman" w:cs="Times New Roman"/>
          <w:sz w:val="28"/>
          <w:szCs w:val="28"/>
        </w:rPr>
      </w:pPr>
    </w:p>
    <w:p w:rsidR="00810F51" w:rsidRPr="00C477DF" w:rsidRDefault="00810F51"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The Remedies for Trespass to Chattel: the remedies available to a person whose chattel has been meddled with, short of conversion or detinue are:</w:t>
      </w:r>
    </w:p>
    <w:p w:rsidR="00810F51" w:rsidRPr="00C477DF" w:rsidRDefault="00810F51"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1. Payment of damages </w:t>
      </w:r>
    </w:p>
    <w:p w:rsidR="00810F51" w:rsidRPr="00C477DF" w:rsidRDefault="00810F51"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2. Replacement of the chattel</w:t>
      </w:r>
    </w:p>
    <w:p w:rsidR="00810F51" w:rsidRPr="00C477DF" w:rsidRDefault="00810F51"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3. Payment of the market price of the chattel</w:t>
      </w:r>
    </w:p>
    <w:p w:rsidR="00810F51" w:rsidRPr="00C477DF" w:rsidRDefault="00810F51"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lastRenderedPageBreak/>
        <w:t xml:space="preserve"> 4. Repair of the damage.</w:t>
      </w:r>
    </w:p>
    <w:p w:rsidR="00810F51" w:rsidRPr="00C477DF" w:rsidRDefault="00810F51" w:rsidP="00577389">
      <w:pPr>
        <w:spacing w:line="360" w:lineRule="auto"/>
        <w:ind w:left="360"/>
        <w:rPr>
          <w:rFonts w:ascii="Times New Roman" w:hAnsi="Times New Roman" w:cs="Times New Roman"/>
          <w:sz w:val="28"/>
          <w:szCs w:val="28"/>
        </w:rPr>
      </w:pPr>
    </w:p>
    <w:p w:rsidR="00810F51" w:rsidRPr="00C477DF" w:rsidRDefault="00810F51" w:rsidP="00577389">
      <w:pPr>
        <w:shd w:val="clear" w:color="auto" w:fill="FFFFFF"/>
        <w:spacing w:before="300" w:after="150" w:line="360" w:lineRule="auto"/>
        <w:jc w:val="both"/>
        <w:outlineLvl w:val="1"/>
        <w:rPr>
          <w:rFonts w:ascii="Times New Roman" w:eastAsia="Times New Roman" w:hAnsi="Times New Roman" w:cs="Times New Roman"/>
          <w:b/>
          <w:bCs/>
          <w:color w:val="111111"/>
          <w:sz w:val="28"/>
          <w:szCs w:val="28"/>
        </w:rPr>
      </w:pPr>
      <w:r w:rsidRPr="00C477DF">
        <w:rPr>
          <w:rFonts w:ascii="Times New Roman" w:eastAsia="Times New Roman" w:hAnsi="Times New Roman" w:cs="Times New Roman"/>
          <w:b/>
          <w:bCs/>
          <w:color w:val="111111"/>
          <w:sz w:val="28"/>
          <w:szCs w:val="28"/>
        </w:rPr>
        <w:t>Conversion</w:t>
      </w:r>
    </w:p>
    <w:p w:rsidR="00810F51" w:rsidRPr="00C477DF" w:rsidRDefault="008E23E6" w:rsidP="00577389">
      <w:pPr>
        <w:shd w:val="clear" w:color="auto" w:fill="FFFFFF"/>
        <w:spacing w:after="420" w:line="36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810F51" w:rsidRPr="00C477DF">
        <w:rPr>
          <w:rFonts w:ascii="Times New Roman" w:eastAsia="Times New Roman" w:hAnsi="Times New Roman" w:cs="Times New Roman"/>
          <w:color w:val="111111"/>
          <w:sz w:val="28"/>
          <w:szCs w:val="28"/>
        </w:rPr>
        <w:t>This consists of the </w:t>
      </w:r>
      <w:r w:rsidR="00810F51" w:rsidRPr="00C477DF">
        <w:rPr>
          <w:rFonts w:ascii="Times New Roman" w:eastAsia="Times New Roman" w:hAnsi="Times New Roman" w:cs="Times New Roman"/>
          <w:bCs/>
          <w:color w:val="111111"/>
          <w:sz w:val="28"/>
          <w:szCs w:val="28"/>
        </w:rPr>
        <w:t>willful</w:t>
      </w:r>
      <w:r w:rsidR="00810F51" w:rsidRPr="00C477DF">
        <w:rPr>
          <w:rFonts w:ascii="Times New Roman" w:eastAsia="Times New Roman" w:hAnsi="Times New Roman" w:cs="Times New Roman"/>
          <w:color w:val="111111"/>
          <w:sz w:val="28"/>
          <w:szCs w:val="28"/>
        </w:rPr>
        <w:t> and </w:t>
      </w:r>
      <w:r w:rsidR="00810F51" w:rsidRPr="00C477DF">
        <w:rPr>
          <w:rFonts w:ascii="Times New Roman" w:eastAsia="Times New Roman" w:hAnsi="Times New Roman" w:cs="Times New Roman"/>
          <w:bCs/>
          <w:color w:val="111111"/>
          <w:sz w:val="28"/>
          <w:szCs w:val="28"/>
        </w:rPr>
        <w:t>wrongful</w:t>
      </w:r>
      <w:r w:rsidR="00810F51" w:rsidRPr="00C477DF">
        <w:rPr>
          <w:rFonts w:ascii="Times New Roman" w:eastAsia="Times New Roman" w:hAnsi="Times New Roman" w:cs="Times New Roman"/>
          <w:color w:val="111111"/>
          <w:sz w:val="28"/>
          <w:szCs w:val="28"/>
        </w:rPr>
        <w:t> interference with the goods of a person entitled to possession in such a way as to deny him</w:t>
      </w:r>
      <w:r>
        <w:rPr>
          <w:rFonts w:ascii="Times New Roman" w:eastAsia="Times New Roman" w:hAnsi="Times New Roman" w:cs="Times New Roman"/>
          <w:color w:val="111111"/>
          <w:sz w:val="28"/>
          <w:szCs w:val="28"/>
        </w:rPr>
        <w:t xml:space="preserve"> such right or in such a manner </w:t>
      </w:r>
      <w:r w:rsidR="00810F51" w:rsidRPr="00C477DF">
        <w:rPr>
          <w:rFonts w:ascii="Times New Roman" w:eastAsia="Times New Roman" w:hAnsi="Times New Roman" w:cs="Times New Roman"/>
          <w:color w:val="111111"/>
          <w:sz w:val="28"/>
          <w:szCs w:val="28"/>
        </w:rPr>
        <w:t>inconsistent with his right.</w:t>
      </w:r>
      <w:r w:rsidR="00810F51" w:rsidRPr="00C477DF">
        <w:rPr>
          <w:rFonts w:ascii="Times New Roman" w:eastAsia="Times New Roman" w:hAnsi="Times New Roman" w:cs="Times New Roman"/>
          <w:color w:val="111111"/>
          <w:sz w:val="28"/>
          <w:szCs w:val="28"/>
        </w:rPr>
        <w:br/>
        <w:t>The right to immediate possession is the determining factor. That is, if the right exists, actual possession is unnecessary.</w:t>
      </w:r>
    </w:p>
    <w:p w:rsidR="00810F51" w:rsidRPr="00C477DF" w:rsidRDefault="00810F51" w:rsidP="00577389">
      <w:pPr>
        <w:shd w:val="clear" w:color="auto" w:fill="FFFFFF"/>
        <w:spacing w:before="300" w:after="150" w:line="360" w:lineRule="auto"/>
        <w:jc w:val="both"/>
        <w:outlineLvl w:val="2"/>
        <w:rPr>
          <w:rFonts w:ascii="Times New Roman" w:eastAsia="Times New Roman" w:hAnsi="Times New Roman" w:cs="Times New Roman"/>
          <w:b/>
          <w:bCs/>
          <w:color w:val="111111"/>
          <w:sz w:val="28"/>
          <w:szCs w:val="28"/>
        </w:rPr>
      </w:pPr>
      <w:r w:rsidRPr="00C477DF">
        <w:rPr>
          <w:rFonts w:ascii="Times New Roman" w:eastAsia="Times New Roman" w:hAnsi="Times New Roman" w:cs="Times New Roman"/>
          <w:b/>
          <w:bCs/>
          <w:color w:val="111111"/>
          <w:sz w:val="28"/>
          <w:szCs w:val="28"/>
        </w:rPr>
        <w:t>Instances of Conversion</w:t>
      </w:r>
    </w:p>
    <w:p w:rsidR="00810F51" w:rsidRPr="00C477DF" w:rsidRDefault="008E23E6" w:rsidP="00577389">
      <w:pPr>
        <w:shd w:val="clear" w:color="auto" w:fill="FFFFFF"/>
        <w:spacing w:after="420" w:line="36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810F51" w:rsidRPr="00C477DF">
        <w:rPr>
          <w:rFonts w:ascii="Times New Roman" w:eastAsia="Times New Roman" w:hAnsi="Times New Roman" w:cs="Times New Roman"/>
          <w:color w:val="111111"/>
          <w:sz w:val="28"/>
          <w:szCs w:val="28"/>
        </w:rPr>
        <w:t>Conversion of goods would arise in the following situation</w:t>
      </w:r>
      <w:proofErr w:type="gramStart"/>
      <w:r w:rsidR="00810F51" w:rsidRPr="00C477DF">
        <w:rPr>
          <w:rFonts w:ascii="Times New Roman" w:eastAsia="Times New Roman" w:hAnsi="Times New Roman" w:cs="Times New Roman"/>
          <w:color w:val="111111"/>
          <w:sz w:val="28"/>
          <w:szCs w:val="28"/>
        </w:rPr>
        <w:t>:</w:t>
      </w:r>
      <w:proofErr w:type="gramEnd"/>
      <w:r w:rsidR="00810F51" w:rsidRPr="00C477DF">
        <w:rPr>
          <w:rFonts w:ascii="Times New Roman" w:eastAsia="Times New Roman" w:hAnsi="Times New Roman" w:cs="Times New Roman"/>
          <w:color w:val="111111"/>
          <w:sz w:val="28"/>
          <w:szCs w:val="28"/>
        </w:rPr>
        <w:br/>
      </w:r>
      <w:r w:rsidR="00810F51" w:rsidRPr="00C477DF">
        <w:rPr>
          <w:rFonts w:ascii="Times New Roman" w:eastAsia="Times New Roman" w:hAnsi="Times New Roman" w:cs="Times New Roman"/>
          <w:bCs/>
          <w:color w:val="111111"/>
          <w:sz w:val="28"/>
          <w:szCs w:val="28"/>
        </w:rPr>
        <w:t>1. Wrongfully Taking the Goods:</w:t>
      </w:r>
      <w:r w:rsidR="00810F51" w:rsidRPr="00C477DF">
        <w:rPr>
          <w:rFonts w:ascii="Times New Roman" w:eastAsia="Times New Roman" w:hAnsi="Times New Roman" w:cs="Times New Roman"/>
          <w:color w:val="111111"/>
          <w:sz w:val="28"/>
          <w:szCs w:val="28"/>
        </w:rPr>
        <w:t> This must be accompanied by an intention to exercise temporary or permanent dominion over the goods. In the case of </w:t>
      </w:r>
      <w:proofErr w:type="spellStart"/>
      <w:r w:rsidR="00810F51" w:rsidRPr="00C477DF">
        <w:rPr>
          <w:rFonts w:ascii="Times New Roman" w:eastAsia="Times New Roman" w:hAnsi="Times New Roman" w:cs="Times New Roman"/>
          <w:b/>
          <w:bCs/>
          <w:i/>
          <w:iCs/>
          <w:color w:val="111111"/>
          <w:sz w:val="28"/>
          <w:szCs w:val="28"/>
        </w:rPr>
        <w:t>Fouldes</w:t>
      </w:r>
      <w:proofErr w:type="spellEnd"/>
      <w:r w:rsidR="00810F51" w:rsidRPr="00C477DF">
        <w:rPr>
          <w:rFonts w:ascii="Times New Roman" w:eastAsia="Times New Roman" w:hAnsi="Times New Roman" w:cs="Times New Roman"/>
          <w:b/>
          <w:bCs/>
          <w:i/>
          <w:iCs/>
          <w:color w:val="111111"/>
          <w:sz w:val="28"/>
          <w:szCs w:val="28"/>
        </w:rPr>
        <w:t xml:space="preserve"> vs Willoughby </w:t>
      </w:r>
      <w:r w:rsidR="00810F51" w:rsidRPr="00C477DF">
        <w:rPr>
          <w:rFonts w:ascii="Times New Roman" w:eastAsia="Times New Roman" w:hAnsi="Times New Roman" w:cs="Times New Roman"/>
          <w:color w:val="111111"/>
          <w:sz w:val="28"/>
          <w:szCs w:val="28"/>
        </w:rPr>
        <w:t xml:space="preserve">the owner of two horses brought them aboard a ferry. In an ensuing argument, the ferryman told the horse owner to remove the horses but he refused. He then personally removed the horses and led them ashore. The horse owner sued for conversion. Judgement was entered in his </w:t>
      </w:r>
      <w:proofErr w:type="spellStart"/>
      <w:r w:rsidR="00810F51" w:rsidRPr="00C477DF">
        <w:rPr>
          <w:rFonts w:ascii="Times New Roman" w:eastAsia="Times New Roman" w:hAnsi="Times New Roman" w:cs="Times New Roman"/>
          <w:color w:val="111111"/>
          <w:sz w:val="28"/>
          <w:szCs w:val="28"/>
        </w:rPr>
        <w:t>favour</w:t>
      </w:r>
      <w:proofErr w:type="spellEnd"/>
      <w:r w:rsidR="00810F51" w:rsidRPr="00C477DF">
        <w:rPr>
          <w:rFonts w:ascii="Times New Roman" w:eastAsia="Times New Roman" w:hAnsi="Times New Roman" w:cs="Times New Roman"/>
          <w:color w:val="111111"/>
          <w:sz w:val="28"/>
          <w:szCs w:val="28"/>
        </w:rPr>
        <w:t xml:space="preserve"> at the trial court. On appeal, the court, in allowing the appeal held that the act of leading the horses away from his ferry by the ferryman could not be held to have amounted to conversion. This was due to the fact that the ferryman did not intend to assert a dominion of ownership over the horses.</w:t>
      </w:r>
    </w:p>
    <w:p w:rsidR="00810F51" w:rsidRPr="00C477DF" w:rsidRDefault="00810F51" w:rsidP="00577389">
      <w:pPr>
        <w:shd w:val="clear" w:color="auto" w:fill="FFFFFF"/>
        <w:spacing w:after="420" w:line="360" w:lineRule="auto"/>
        <w:jc w:val="both"/>
        <w:rPr>
          <w:rFonts w:ascii="Times New Roman" w:eastAsia="Times New Roman" w:hAnsi="Times New Roman" w:cs="Times New Roman"/>
          <w:color w:val="111111"/>
          <w:sz w:val="28"/>
          <w:szCs w:val="28"/>
        </w:rPr>
      </w:pPr>
      <w:r w:rsidRPr="00C477DF">
        <w:rPr>
          <w:rFonts w:ascii="Times New Roman" w:eastAsia="Times New Roman" w:hAnsi="Times New Roman" w:cs="Times New Roman"/>
          <w:bCs/>
          <w:color w:val="111111"/>
          <w:sz w:val="28"/>
          <w:szCs w:val="28"/>
        </w:rPr>
        <w:t>2. Wrongfully detaining the goods:</w:t>
      </w:r>
      <w:r w:rsidRPr="00C477DF">
        <w:rPr>
          <w:rFonts w:ascii="Times New Roman" w:eastAsia="Times New Roman" w:hAnsi="Times New Roman" w:cs="Times New Roman"/>
          <w:color w:val="111111"/>
          <w:sz w:val="28"/>
          <w:szCs w:val="28"/>
        </w:rPr>
        <w:t xml:space="preserve"> This must be accompanied by an intention to keep the goods from the person entitled to possession of the goods. Hence it would not be regarded as conversion if the finder of goods merely refrains from returning </w:t>
      </w:r>
      <w:r w:rsidRPr="00C477DF">
        <w:rPr>
          <w:rFonts w:ascii="Times New Roman" w:eastAsia="Times New Roman" w:hAnsi="Times New Roman" w:cs="Times New Roman"/>
          <w:color w:val="111111"/>
          <w:sz w:val="28"/>
          <w:szCs w:val="28"/>
        </w:rPr>
        <w:lastRenderedPageBreak/>
        <w:t>such to the owner. It would only be conversion in a situation in which when asked for the goods by the owner, he refuses to release it.</w:t>
      </w:r>
    </w:p>
    <w:p w:rsidR="00577389" w:rsidRPr="00C477DF" w:rsidRDefault="00810F51" w:rsidP="00577389">
      <w:pPr>
        <w:shd w:val="clear" w:color="auto" w:fill="FFFFFF"/>
        <w:spacing w:after="420" w:line="360" w:lineRule="auto"/>
        <w:jc w:val="both"/>
        <w:rPr>
          <w:rFonts w:ascii="Times New Roman" w:eastAsia="Times New Roman" w:hAnsi="Times New Roman" w:cs="Times New Roman"/>
          <w:color w:val="111111"/>
          <w:sz w:val="28"/>
          <w:szCs w:val="28"/>
        </w:rPr>
      </w:pPr>
      <w:r w:rsidRPr="00C477DF">
        <w:rPr>
          <w:rFonts w:ascii="Times New Roman" w:eastAsia="Times New Roman" w:hAnsi="Times New Roman" w:cs="Times New Roman"/>
          <w:bCs/>
          <w:color w:val="111111"/>
          <w:sz w:val="28"/>
          <w:szCs w:val="28"/>
        </w:rPr>
        <w:t>3.</w:t>
      </w:r>
      <w:r w:rsidR="00577389" w:rsidRPr="00C477DF">
        <w:rPr>
          <w:rFonts w:ascii="Times New Roman" w:eastAsia="Times New Roman" w:hAnsi="Times New Roman" w:cs="Times New Roman"/>
          <w:bCs/>
          <w:color w:val="111111"/>
          <w:sz w:val="28"/>
          <w:szCs w:val="28"/>
        </w:rPr>
        <w:t xml:space="preserve"> </w:t>
      </w:r>
      <w:proofErr w:type="gramStart"/>
      <w:r w:rsidRPr="00C477DF">
        <w:rPr>
          <w:rFonts w:ascii="Times New Roman" w:eastAsia="Times New Roman" w:hAnsi="Times New Roman" w:cs="Times New Roman"/>
          <w:bCs/>
          <w:color w:val="111111"/>
          <w:sz w:val="28"/>
          <w:szCs w:val="28"/>
        </w:rPr>
        <w:t>By</w:t>
      </w:r>
      <w:proofErr w:type="gramEnd"/>
      <w:r w:rsidRPr="00C477DF">
        <w:rPr>
          <w:rFonts w:ascii="Times New Roman" w:eastAsia="Times New Roman" w:hAnsi="Times New Roman" w:cs="Times New Roman"/>
          <w:bCs/>
          <w:color w:val="111111"/>
          <w:sz w:val="28"/>
          <w:szCs w:val="28"/>
        </w:rPr>
        <w:t xml:space="preserve"> </w:t>
      </w:r>
      <w:r w:rsidR="00577389" w:rsidRPr="00C477DF">
        <w:rPr>
          <w:rFonts w:ascii="Times New Roman" w:eastAsia="Times New Roman" w:hAnsi="Times New Roman" w:cs="Times New Roman"/>
          <w:bCs/>
          <w:color w:val="111111"/>
          <w:sz w:val="28"/>
          <w:szCs w:val="28"/>
        </w:rPr>
        <w:t>wrongfully destroying the goods</w:t>
      </w:r>
    </w:p>
    <w:p w:rsidR="00810F51" w:rsidRPr="00C477DF" w:rsidRDefault="00810F51" w:rsidP="00577389">
      <w:pPr>
        <w:shd w:val="clear" w:color="auto" w:fill="FFFFFF"/>
        <w:spacing w:after="420" w:line="360" w:lineRule="auto"/>
        <w:jc w:val="both"/>
        <w:rPr>
          <w:rFonts w:ascii="Times New Roman" w:eastAsia="Times New Roman" w:hAnsi="Times New Roman" w:cs="Times New Roman"/>
          <w:color w:val="111111"/>
          <w:sz w:val="28"/>
          <w:szCs w:val="28"/>
        </w:rPr>
      </w:pPr>
      <w:r w:rsidRPr="00C477DF">
        <w:rPr>
          <w:rFonts w:ascii="Times New Roman" w:eastAsia="Times New Roman" w:hAnsi="Times New Roman" w:cs="Times New Roman"/>
          <w:bCs/>
          <w:color w:val="111111"/>
          <w:sz w:val="28"/>
          <w:szCs w:val="28"/>
        </w:rPr>
        <w:t>4. Wrongfully disposing the goods:</w:t>
      </w:r>
      <w:r w:rsidRPr="00C477DF">
        <w:rPr>
          <w:rFonts w:ascii="Times New Roman" w:eastAsia="Times New Roman" w:hAnsi="Times New Roman" w:cs="Times New Roman"/>
          <w:color w:val="111111"/>
          <w:sz w:val="28"/>
          <w:szCs w:val="28"/>
        </w:rPr>
        <w:t> This occurs in a situation in which the defendant attempts to confer title to a third party in a manner inconsistent with the right of the person entitled to possession.</w:t>
      </w:r>
    </w:p>
    <w:p w:rsidR="00810F51" w:rsidRPr="00C477DF" w:rsidRDefault="003734AF" w:rsidP="00577389">
      <w:pPr>
        <w:shd w:val="clear" w:color="auto" w:fill="FFFFFF"/>
        <w:spacing w:after="420" w:line="360" w:lineRule="auto"/>
        <w:jc w:val="both"/>
        <w:rPr>
          <w:rFonts w:ascii="Times New Roman" w:eastAsia="Times New Roman" w:hAnsi="Times New Roman" w:cs="Times New Roman"/>
          <w:color w:val="111111"/>
          <w:sz w:val="28"/>
          <w:szCs w:val="28"/>
        </w:rPr>
      </w:pPr>
      <w:r w:rsidRPr="00C477DF">
        <w:rPr>
          <w:rFonts w:ascii="Times New Roman" w:eastAsia="Times New Roman" w:hAnsi="Times New Roman" w:cs="Times New Roman"/>
          <w:b/>
          <w:bCs/>
          <w:color w:val="111111"/>
          <w:sz w:val="28"/>
          <w:szCs w:val="28"/>
        </w:rPr>
        <w:t>5</w:t>
      </w:r>
      <w:r w:rsidRPr="00C477DF">
        <w:rPr>
          <w:rFonts w:ascii="Times New Roman" w:eastAsia="Times New Roman" w:hAnsi="Times New Roman" w:cs="Times New Roman"/>
          <w:bCs/>
          <w:color w:val="111111"/>
          <w:sz w:val="28"/>
          <w:szCs w:val="28"/>
        </w:rPr>
        <w:t xml:space="preserve">. </w:t>
      </w:r>
      <w:proofErr w:type="gramStart"/>
      <w:r w:rsidRPr="00C477DF">
        <w:rPr>
          <w:rFonts w:ascii="Times New Roman" w:eastAsia="Times New Roman" w:hAnsi="Times New Roman" w:cs="Times New Roman"/>
          <w:bCs/>
          <w:color w:val="111111"/>
          <w:sz w:val="28"/>
          <w:szCs w:val="28"/>
        </w:rPr>
        <w:t>By</w:t>
      </w:r>
      <w:proofErr w:type="gramEnd"/>
      <w:r w:rsidR="00810F51" w:rsidRPr="00C477DF">
        <w:rPr>
          <w:rFonts w:ascii="Times New Roman" w:eastAsia="Times New Roman" w:hAnsi="Times New Roman" w:cs="Times New Roman"/>
          <w:bCs/>
          <w:color w:val="111111"/>
          <w:sz w:val="28"/>
          <w:szCs w:val="28"/>
        </w:rPr>
        <w:t xml:space="preserve"> wrongfully delivering the goods</w:t>
      </w:r>
      <w:r w:rsidR="00810F51" w:rsidRPr="00C477DF">
        <w:rPr>
          <w:rFonts w:ascii="Times New Roman" w:eastAsia="Times New Roman" w:hAnsi="Times New Roman" w:cs="Times New Roman"/>
          <w:b/>
          <w:bCs/>
          <w:color w:val="111111"/>
          <w:sz w:val="28"/>
          <w:szCs w:val="28"/>
        </w:rPr>
        <w:t>:</w:t>
      </w:r>
      <w:r w:rsidR="00810F51" w:rsidRPr="00C477DF">
        <w:rPr>
          <w:rFonts w:ascii="Times New Roman" w:eastAsia="Times New Roman" w:hAnsi="Times New Roman" w:cs="Times New Roman"/>
          <w:color w:val="111111"/>
          <w:sz w:val="28"/>
          <w:szCs w:val="28"/>
        </w:rPr>
        <w:t> This occurs in a situation in which the defendant denies the true owner of the title to the goods by delivering them to another party that has no title.</w:t>
      </w:r>
    </w:p>
    <w:p w:rsidR="00810F51" w:rsidRPr="00C477DF" w:rsidRDefault="00810F51" w:rsidP="00577389">
      <w:pPr>
        <w:shd w:val="clear" w:color="auto" w:fill="FFFFFF"/>
        <w:spacing w:before="300" w:after="150" w:line="360" w:lineRule="auto"/>
        <w:jc w:val="both"/>
        <w:outlineLvl w:val="2"/>
        <w:rPr>
          <w:rFonts w:ascii="Times New Roman" w:eastAsia="Times New Roman" w:hAnsi="Times New Roman" w:cs="Times New Roman"/>
          <w:b/>
          <w:bCs/>
          <w:color w:val="111111"/>
          <w:sz w:val="28"/>
          <w:szCs w:val="28"/>
        </w:rPr>
      </w:pPr>
      <w:r w:rsidRPr="00C477DF">
        <w:rPr>
          <w:rFonts w:ascii="Times New Roman" w:eastAsia="Times New Roman" w:hAnsi="Times New Roman" w:cs="Times New Roman"/>
          <w:b/>
          <w:bCs/>
          <w:color w:val="111111"/>
          <w:sz w:val="28"/>
          <w:szCs w:val="28"/>
        </w:rPr>
        <w:t>Defenses to Conversion</w:t>
      </w:r>
    </w:p>
    <w:p w:rsidR="00810F51" w:rsidRPr="00C477DF" w:rsidRDefault="00810F51" w:rsidP="00577389">
      <w:pPr>
        <w:shd w:val="clear" w:color="auto" w:fill="FFFFFF"/>
        <w:spacing w:before="100" w:beforeAutospacing="1" w:after="100" w:afterAutospacing="1" w:line="360" w:lineRule="auto"/>
        <w:ind w:left="360"/>
        <w:jc w:val="both"/>
        <w:rPr>
          <w:rFonts w:ascii="Times New Roman" w:eastAsia="Times New Roman" w:hAnsi="Times New Roman" w:cs="Times New Roman"/>
          <w:color w:val="111111"/>
          <w:sz w:val="28"/>
          <w:szCs w:val="28"/>
        </w:rPr>
      </w:pPr>
      <w:r w:rsidRPr="00C477DF">
        <w:rPr>
          <w:rFonts w:ascii="Times New Roman" w:eastAsia="Times New Roman" w:hAnsi="Times New Roman" w:cs="Times New Roman"/>
          <w:bCs/>
          <w:color w:val="111111"/>
          <w:sz w:val="28"/>
          <w:szCs w:val="28"/>
        </w:rPr>
        <w:t>Abandonment:</w:t>
      </w:r>
      <w:r w:rsidRPr="00C477DF">
        <w:rPr>
          <w:rFonts w:ascii="Times New Roman" w:eastAsia="Times New Roman" w:hAnsi="Times New Roman" w:cs="Times New Roman"/>
          <w:color w:val="111111"/>
          <w:sz w:val="28"/>
          <w:szCs w:val="28"/>
        </w:rPr>
        <w: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p>
    <w:p w:rsidR="00810F51" w:rsidRPr="00C477DF" w:rsidRDefault="00810F51" w:rsidP="0057738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11111"/>
          <w:sz w:val="28"/>
          <w:szCs w:val="28"/>
        </w:rPr>
      </w:pPr>
      <w:r w:rsidRPr="00C477DF">
        <w:rPr>
          <w:rFonts w:ascii="Times New Roman" w:eastAsia="Times New Roman" w:hAnsi="Times New Roman" w:cs="Times New Roman"/>
          <w:bCs/>
          <w:color w:val="111111"/>
          <w:sz w:val="28"/>
          <w:szCs w:val="28"/>
        </w:rPr>
        <w:t>Authority of Law</w:t>
      </w:r>
      <w:r w:rsidRPr="00C477DF">
        <w:rPr>
          <w:rFonts w:ascii="Times New Roman" w:eastAsia="Times New Roman" w:hAnsi="Times New Roman" w:cs="Times New Roman"/>
          <w:color w:val="111111"/>
          <w:sz w:val="28"/>
          <w:szCs w:val="28"/>
        </w:rPr>
        <w:t>: Conversion that is done under the authority of law would be justified. For example, the selling of the goods of a defendant by the claimant by an order of court in order to get a judgement debt, would be valid.</w:t>
      </w:r>
    </w:p>
    <w:p w:rsidR="00810F51" w:rsidRPr="00C477DF" w:rsidRDefault="00810F51" w:rsidP="0057738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11111"/>
          <w:sz w:val="28"/>
          <w:szCs w:val="28"/>
        </w:rPr>
      </w:pPr>
      <w:r w:rsidRPr="00C477DF">
        <w:rPr>
          <w:rFonts w:ascii="Times New Roman" w:eastAsia="Times New Roman" w:hAnsi="Times New Roman" w:cs="Times New Roman"/>
          <w:bCs/>
          <w:color w:val="111111"/>
          <w:sz w:val="28"/>
          <w:szCs w:val="28"/>
        </w:rPr>
        <w:t>Consent:</w:t>
      </w:r>
      <w:r w:rsidRPr="00C477DF">
        <w:rPr>
          <w:rFonts w:ascii="Times New Roman" w:eastAsia="Times New Roman" w:hAnsi="Times New Roman" w:cs="Times New Roman"/>
          <w:color w:val="111111"/>
          <w:sz w:val="28"/>
          <w:szCs w:val="28"/>
        </w:rPr>
        <w:t> If the owner of the goods consented to the action of the defendant in converting the goods, the conversion would be held to be valid.</w:t>
      </w:r>
    </w:p>
    <w:p w:rsidR="00810F51" w:rsidRPr="00C477DF" w:rsidRDefault="00810F51" w:rsidP="0057738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11111"/>
          <w:sz w:val="28"/>
          <w:szCs w:val="28"/>
        </w:rPr>
      </w:pPr>
      <w:r w:rsidRPr="00C477DF">
        <w:rPr>
          <w:rFonts w:ascii="Times New Roman" w:eastAsia="Times New Roman" w:hAnsi="Times New Roman" w:cs="Times New Roman"/>
          <w:bCs/>
          <w:color w:val="111111"/>
          <w:sz w:val="28"/>
          <w:szCs w:val="28"/>
        </w:rPr>
        <w:lastRenderedPageBreak/>
        <w:t>Statute of limitations:</w:t>
      </w:r>
      <w:r w:rsidRPr="00C477DF">
        <w:rPr>
          <w:rFonts w:ascii="Times New Roman" w:eastAsia="Times New Roman" w:hAnsi="Times New Roman" w:cs="Times New Roman"/>
          <w:color w:val="111111"/>
          <w:sz w:val="28"/>
          <w:szCs w:val="28"/>
        </w:rPr>
        <w:t> If the suit for conversion is not filed after a specified period (ranging from 2-5) years, it would be held to be statute barred. Thus, the suit would not be heard by the court.</w:t>
      </w:r>
    </w:p>
    <w:p w:rsidR="00810F51" w:rsidRPr="00C477DF" w:rsidRDefault="00810F51" w:rsidP="0057738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11111"/>
          <w:sz w:val="28"/>
          <w:szCs w:val="28"/>
        </w:rPr>
      </w:pPr>
      <w:r w:rsidRPr="00C477DF">
        <w:rPr>
          <w:rFonts w:ascii="Times New Roman" w:eastAsia="Times New Roman" w:hAnsi="Times New Roman" w:cs="Times New Roman"/>
          <w:bCs/>
          <w:color w:val="111111"/>
          <w:sz w:val="28"/>
          <w:szCs w:val="28"/>
        </w:rPr>
        <w:t>Unidentifiable property:</w:t>
      </w:r>
      <w:r w:rsidRPr="00C477DF">
        <w:rPr>
          <w:rFonts w:ascii="Times New Roman" w:eastAsia="Times New Roman" w:hAnsi="Times New Roman" w:cs="Times New Roman"/>
          <w:color w:val="111111"/>
          <w:sz w:val="28"/>
          <w:szCs w:val="28"/>
        </w:rPr>
        <w:t> If the property cannot be properly identified, it could also s</w:t>
      </w:r>
      <w:r w:rsidR="00365E7D" w:rsidRPr="00C477DF">
        <w:rPr>
          <w:rFonts w:ascii="Times New Roman" w:eastAsia="Times New Roman" w:hAnsi="Times New Roman" w:cs="Times New Roman"/>
          <w:color w:val="111111"/>
          <w:sz w:val="28"/>
          <w:szCs w:val="28"/>
        </w:rPr>
        <w:t>erve as a defense to conversion</w:t>
      </w:r>
    </w:p>
    <w:p w:rsidR="004257CE" w:rsidRPr="00C477DF" w:rsidRDefault="004257CE" w:rsidP="00577389">
      <w:pPr>
        <w:shd w:val="clear" w:color="auto" w:fill="FFFFFF"/>
        <w:spacing w:before="100" w:beforeAutospacing="1" w:after="100" w:afterAutospacing="1" w:line="360" w:lineRule="auto"/>
        <w:ind w:left="720"/>
        <w:jc w:val="both"/>
        <w:rPr>
          <w:rFonts w:ascii="Times New Roman" w:hAnsi="Times New Roman" w:cs="Times New Roman"/>
          <w:b/>
          <w:sz w:val="28"/>
          <w:szCs w:val="28"/>
        </w:rPr>
      </w:pPr>
      <w:r w:rsidRPr="00C477DF">
        <w:rPr>
          <w:rFonts w:ascii="Times New Roman" w:hAnsi="Times New Roman" w:cs="Times New Roman"/>
          <w:b/>
          <w:sz w:val="28"/>
          <w:szCs w:val="28"/>
        </w:rPr>
        <w:t xml:space="preserve">Innocent Receipt or Delivery </w:t>
      </w:r>
    </w:p>
    <w:p w:rsidR="007444E1" w:rsidRPr="00C477DF" w:rsidRDefault="004257CE" w:rsidP="00577389">
      <w:pPr>
        <w:shd w:val="clear" w:color="auto" w:fill="FFFFFF"/>
        <w:spacing w:before="100" w:beforeAutospacing="1" w:after="100" w:afterAutospacing="1" w:line="360" w:lineRule="auto"/>
        <w:ind w:left="720"/>
        <w:jc w:val="both"/>
        <w:rPr>
          <w:rFonts w:ascii="Times New Roman" w:hAnsi="Times New Roman" w:cs="Times New Roman"/>
          <w:sz w:val="28"/>
          <w:szCs w:val="28"/>
        </w:rPr>
      </w:pPr>
      <w:r w:rsidRPr="00C477DF">
        <w:rPr>
          <w:rFonts w:ascii="Times New Roman" w:hAnsi="Times New Roman" w:cs="Times New Roman"/>
          <w:sz w:val="28"/>
          <w:szCs w:val="28"/>
        </w:rPr>
        <w:t xml:space="preserve">Innocent delivery,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w:t>
      </w:r>
      <w:r w:rsidR="007444E1" w:rsidRPr="00C477DF">
        <w:rPr>
          <w:rFonts w:ascii="Times New Roman" w:hAnsi="Times New Roman" w:cs="Times New Roman"/>
          <w:sz w:val="28"/>
          <w:szCs w:val="28"/>
        </w:rPr>
        <w:t>the goods constitute a nuisance.</w:t>
      </w:r>
    </w:p>
    <w:p w:rsidR="004257CE" w:rsidRPr="00C477DF" w:rsidRDefault="004257CE" w:rsidP="00577389">
      <w:pPr>
        <w:shd w:val="clear" w:color="auto" w:fill="FFFFFF"/>
        <w:spacing w:before="100" w:beforeAutospacing="1" w:after="100" w:afterAutospacing="1" w:line="360" w:lineRule="auto"/>
        <w:ind w:left="720"/>
        <w:jc w:val="both"/>
        <w:rPr>
          <w:rFonts w:ascii="Times New Roman" w:hAnsi="Times New Roman" w:cs="Times New Roman"/>
          <w:b/>
          <w:sz w:val="28"/>
          <w:szCs w:val="28"/>
        </w:rPr>
      </w:pPr>
      <w:r w:rsidRPr="00C477DF">
        <w:rPr>
          <w:rFonts w:ascii="Times New Roman" w:hAnsi="Times New Roman" w:cs="Times New Roman"/>
          <w:sz w:val="28"/>
          <w:szCs w:val="28"/>
        </w:rPr>
        <w:t xml:space="preserve">                                    </w:t>
      </w:r>
      <w:r w:rsidRPr="00C477DF">
        <w:rPr>
          <w:rFonts w:ascii="Times New Roman" w:hAnsi="Times New Roman" w:cs="Times New Roman"/>
          <w:b/>
          <w:sz w:val="28"/>
          <w:szCs w:val="28"/>
        </w:rPr>
        <w:t xml:space="preserve">The Rules Regarding Finding Lost Property </w:t>
      </w:r>
    </w:p>
    <w:p w:rsidR="001A6077" w:rsidRPr="00C477DF" w:rsidRDefault="004257CE" w:rsidP="00577389">
      <w:pPr>
        <w:shd w:val="clear" w:color="auto" w:fill="FFFFFF"/>
        <w:spacing w:before="100" w:beforeAutospacing="1" w:after="100" w:afterAutospacing="1" w:line="360" w:lineRule="auto"/>
        <w:ind w:left="720"/>
        <w:jc w:val="both"/>
        <w:rPr>
          <w:rFonts w:ascii="Times New Roman" w:hAnsi="Times New Roman" w:cs="Times New Roman"/>
          <w:sz w:val="28"/>
          <w:szCs w:val="28"/>
        </w:rPr>
      </w:pPr>
      <w:r w:rsidRPr="00C477DF">
        <w:rPr>
          <w:rFonts w:ascii="Times New Roman" w:hAnsi="Times New Roman" w:cs="Times New Roman"/>
          <w:sz w:val="28"/>
          <w:szCs w:val="28"/>
        </w:rPr>
        <w:t>The rules of law applicable to finding a lost property were authoritatively settled by the English Court of Appeal in the case of Parker v</w:t>
      </w:r>
      <w:r w:rsidR="001A6077" w:rsidRPr="00C477DF">
        <w:rPr>
          <w:rFonts w:ascii="Times New Roman" w:hAnsi="Times New Roman" w:cs="Times New Roman"/>
          <w:sz w:val="28"/>
          <w:szCs w:val="28"/>
        </w:rPr>
        <w:t xml:space="preserve"> British Airways (1982). </w:t>
      </w:r>
      <w:r w:rsidRPr="00C477DF">
        <w:rPr>
          <w:rFonts w:ascii="Times New Roman" w:hAnsi="Times New Roman" w:cs="Times New Roman"/>
          <w:sz w:val="28"/>
          <w:szCs w:val="28"/>
        </w:rPr>
        <w:t xml:space="preserve">However, the rules are not often easy to apply. The rules applicable to finding lost property </w:t>
      </w:r>
      <w:r w:rsidR="001A6077" w:rsidRPr="00C477DF">
        <w:rPr>
          <w:rFonts w:ascii="Times New Roman" w:hAnsi="Times New Roman" w:cs="Times New Roman"/>
          <w:sz w:val="28"/>
          <w:szCs w:val="28"/>
        </w:rPr>
        <w:t>may be summarized as follows:</w:t>
      </w:r>
    </w:p>
    <w:p w:rsidR="004257CE" w:rsidRPr="00C477DF" w:rsidRDefault="004257CE" w:rsidP="00577389">
      <w:pPr>
        <w:shd w:val="clear" w:color="auto" w:fill="FFFFFF"/>
        <w:spacing w:before="100" w:beforeAutospacing="1" w:after="100" w:afterAutospacing="1" w:line="360" w:lineRule="auto"/>
        <w:ind w:left="720"/>
        <w:jc w:val="both"/>
        <w:rPr>
          <w:rFonts w:ascii="Times New Roman" w:hAnsi="Times New Roman" w:cs="Times New Roman"/>
          <w:sz w:val="28"/>
          <w:szCs w:val="28"/>
        </w:rPr>
      </w:pPr>
      <w:r w:rsidRPr="00C477DF">
        <w:rPr>
          <w:rFonts w:ascii="Times New Roman" w:hAnsi="Times New Roman" w:cs="Times New Roman"/>
          <w:sz w:val="28"/>
          <w:szCs w:val="28"/>
        </w:rPr>
        <w:t>1. 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p>
    <w:p w:rsidR="007D046E" w:rsidRPr="00C477DF" w:rsidRDefault="004257CE" w:rsidP="00577389">
      <w:pPr>
        <w:shd w:val="clear" w:color="auto" w:fill="FFFFFF"/>
        <w:spacing w:before="100" w:beforeAutospacing="1" w:after="100" w:afterAutospacing="1" w:line="360" w:lineRule="auto"/>
        <w:ind w:left="720"/>
        <w:jc w:val="both"/>
        <w:rPr>
          <w:rFonts w:ascii="Times New Roman" w:hAnsi="Times New Roman" w:cs="Times New Roman"/>
          <w:sz w:val="28"/>
          <w:szCs w:val="28"/>
        </w:rPr>
      </w:pPr>
      <w:r w:rsidRPr="00C477DF">
        <w:rPr>
          <w:rFonts w:ascii="Times New Roman" w:hAnsi="Times New Roman" w:cs="Times New Roman"/>
          <w:sz w:val="28"/>
          <w:szCs w:val="28"/>
        </w:rPr>
        <w:lastRenderedPageBreak/>
        <w:t xml:space="preserve"> 2. Any servant, or agent who finds a lost property in the course his employment, does so on behalf of his employer, who by law acquires the rights of a finder.</w:t>
      </w:r>
    </w:p>
    <w:p w:rsidR="007D046E" w:rsidRPr="00C477DF" w:rsidRDefault="004257CE" w:rsidP="00577389">
      <w:pPr>
        <w:shd w:val="clear" w:color="auto" w:fill="FFFFFF"/>
        <w:spacing w:before="100" w:beforeAutospacing="1" w:after="100" w:afterAutospacing="1" w:line="360" w:lineRule="auto"/>
        <w:ind w:left="720"/>
        <w:jc w:val="both"/>
        <w:rPr>
          <w:rFonts w:ascii="Times New Roman" w:hAnsi="Times New Roman" w:cs="Times New Roman"/>
          <w:sz w:val="28"/>
          <w:szCs w:val="28"/>
        </w:rPr>
      </w:pPr>
      <w:r w:rsidRPr="00C477DF">
        <w:rPr>
          <w:rFonts w:ascii="Times New Roman" w:hAnsi="Times New Roman" w:cs="Times New Roman"/>
          <w:sz w:val="28"/>
          <w:szCs w:val="28"/>
        </w:rPr>
        <w:t xml:space="preserve"> 3. An occupier of land or a building has superior rights to those of a finder, over property or goods in, or attached to the land, or building. Based on this rule, rings found in the mud of a pool in the case of South Staffordshire Water Co. v Sharman (1896) 2 QB 44 and a pre-historic boat discovered six </w:t>
      </w:r>
      <w:r w:rsidR="007D046E" w:rsidRPr="00C477DF">
        <w:rPr>
          <w:rFonts w:ascii="Times New Roman" w:hAnsi="Times New Roman" w:cs="Times New Roman"/>
          <w:sz w:val="28"/>
          <w:szCs w:val="28"/>
        </w:rPr>
        <w:t xml:space="preserve">feet below the </w:t>
      </w:r>
      <w:r w:rsidRPr="00C477DF">
        <w:rPr>
          <w:rFonts w:ascii="Times New Roman" w:hAnsi="Times New Roman" w:cs="Times New Roman"/>
          <w:sz w:val="28"/>
          <w:szCs w:val="28"/>
        </w:rPr>
        <w:t>surface were held as belonging to the land owner in the case of Elwes</w:t>
      </w:r>
      <w:r w:rsidR="007D046E" w:rsidRPr="00C477DF">
        <w:rPr>
          <w:rFonts w:ascii="Times New Roman" w:hAnsi="Times New Roman" w:cs="Times New Roman"/>
          <w:sz w:val="28"/>
          <w:szCs w:val="28"/>
        </w:rPr>
        <w:t xml:space="preserve"> v Briggs Gas (1886)</w:t>
      </w:r>
      <w:r w:rsidRPr="00C477DF">
        <w:rPr>
          <w:rFonts w:ascii="Times New Roman" w:hAnsi="Times New Roman" w:cs="Times New Roman"/>
          <w:sz w:val="28"/>
          <w:szCs w:val="28"/>
        </w:rPr>
        <w:t xml:space="preserve">. </w:t>
      </w:r>
    </w:p>
    <w:p w:rsidR="004257CE" w:rsidRPr="00C477DF" w:rsidRDefault="004257CE" w:rsidP="00577389">
      <w:pPr>
        <w:shd w:val="clear" w:color="auto" w:fill="FFFFFF"/>
        <w:spacing w:before="100" w:beforeAutospacing="1" w:after="100" w:afterAutospacing="1" w:line="360" w:lineRule="auto"/>
        <w:ind w:left="720"/>
        <w:jc w:val="both"/>
        <w:rPr>
          <w:rFonts w:ascii="Times New Roman" w:hAnsi="Times New Roman" w:cs="Times New Roman"/>
          <w:sz w:val="28"/>
          <w:szCs w:val="28"/>
        </w:rPr>
      </w:pPr>
      <w:r w:rsidRPr="00C477DF">
        <w:rPr>
          <w:rFonts w:ascii="Times New Roman" w:hAnsi="Times New Roman" w:cs="Times New Roman"/>
          <w:sz w:val="28"/>
          <w:szCs w:val="28"/>
        </w:rPr>
        <w:t>4. However, an occupier of premises does not have superior rights to those of a finder in respect of goods found on or in the premises, except before the finding, the occupier has manifested an intention to exercise control over the premises, and things on it.</w:t>
      </w:r>
    </w:p>
    <w:p w:rsidR="004257CE" w:rsidRPr="00C477DF" w:rsidRDefault="004257CE" w:rsidP="00577389">
      <w:pPr>
        <w:shd w:val="clear" w:color="auto" w:fill="FFFFFF"/>
        <w:spacing w:before="100" w:beforeAutospacing="1" w:after="100" w:afterAutospacing="1" w:line="360" w:lineRule="auto"/>
        <w:ind w:left="720"/>
        <w:jc w:val="both"/>
        <w:rPr>
          <w:rFonts w:ascii="Times New Roman" w:eastAsia="Times New Roman" w:hAnsi="Times New Roman" w:cs="Times New Roman"/>
          <w:color w:val="111111"/>
          <w:sz w:val="28"/>
          <w:szCs w:val="28"/>
        </w:rPr>
      </w:pPr>
    </w:p>
    <w:p w:rsidR="004257CE" w:rsidRPr="00C477DF" w:rsidRDefault="004257CE" w:rsidP="00577389">
      <w:pPr>
        <w:shd w:val="clear" w:color="auto" w:fill="FFFFFF"/>
        <w:spacing w:before="100" w:beforeAutospacing="1" w:after="100" w:afterAutospacing="1" w:line="360" w:lineRule="auto"/>
        <w:ind w:left="720"/>
        <w:jc w:val="both"/>
        <w:rPr>
          <w:rFonts w:ascii="Times New Roman" w:eastAsia="Times New Roman" w:hAnsi="Times New Roman" w:cs="Times New Roman"/>
          <w:color w:val="111111"/>
          <w:sz w:val="28"/>
          <w:szCs w:val="28"/>
        </w:rPr>
      </w:pPr>
    </w:p>
    <w:p w:rsidR="004257CE" w:rsidRPr="00C477DF" w:rsidRDefault="004257CE" w:rsidP="00577389">
      <w:pPr>
        <w:shd w:val="clear" w:color="auto" w:fill="FFFFFF"/>
        <w:spacing w:before="100" w:beforeAutospacing="1" w:after="100" w:afterAutospacing="1" w:line="360" w:lineRule="auto"/>
        <w:ind w:left="720"/>
        <w:jc w:val="both"/>
        <w:rPr>
          <w:rFonts w:ascii="Times New Roman" w:eastAsia="Times New Roman" w:hAnsi="Times New Roman" w:cs="Times New Roman"/>
          <w:color w:val="111111"/>
          <w:sz w:val="28"/>
          <w:szCs w:val="28"/>
        </w:rPr>
      </w:pPr>
    </w:p>
    <w:p w:rsidR="00810F51" w:rsidRPr="00C477DF" w:rsidRDefault="00365E7D" w:rsidP="00577389">
      <w:pPr>
        <w:spacing w:line="360" w:lineRule="auto"/>
        <w:ind w:left="360"/>
        <w:rPr>
          <w:rFonts w:ascii="Times New Roman" w:hAnsi="Times New Roman" w:cs="Times New Roman"/>
          <w:b/>
          <w:sz w:val="28"/>
          <w:szCs w:val="28"/>
        </w:rPr>
      </w:pPr>
      <w:r w:rsidRPr="00C477DF">
        <w:rPr>
          <w:rFonts w:ascii="Times New Roman" w:hAnsi="Times New Roman" w:cs="Times New Roman"/>
          <w:b/>
          <w:sz w:val="28"/>
          <w:szCs w:val="28"/>
        </w:rPr>
        <w:t xml:space="preserve">                                                       </w:t>
      </w:r>
      <w:r w:rsidR="00940144" w:rsidRPr="00C477DF">
        <w:rPr>
          <w:rFonts w:ascii="Times New Roman" w:hAnsi="Times New Roman" w:cs="Times New Roman"/>
          <w:b/>
          <w:sz w:val="28"/>
          <w:szCs w:val="28"/>
        </w:rPr>
        <w:t>Detinue</w:t>
      </w:r>
    </w:p>
    <w:p w:rsidR="00940144" w:rsidRPr="00C477DF" w:rsidRDefault="00940144"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The tort of detinue is the wrongful detention of the chattel of another person, the immediate possession of which the person entitled. Detinue is a claim for the specific return, delivery, or surrender of a chattel to the plaintiff who is entitled to it. Detinue is the wrongful detention or retention of a chattel whereby the person entitled to it is denied the possession or use of it. As a general rule, to successfully sue in detinue, a plaintiff must have possession before the </w:t>
      </w:r>
      <w:r w:rsidRPr="00C477DF">
        <w:rPr>
          <w:rFonts w:ascii="Times New Roman" w:hAnsi="Times New Roman" w:cs="Times New Roman"/>
          <w:sz w:val="28"/>
          <w:szCs w:val="28"/>
        </w:rPr>
        <w:lastRenderedPageBreak/>
        <w:t xml:space="preserve">detention, or have right to immediate possession of the chattel. Essentially, the tort of detinue is: </w:t>
      </w:r>
    </w:p>
    <w:p w:rsidR="00940144" w:rsidRPr="00C477DF" w:rsidRDefault="00940144"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1. The wrongful detention of the chattel of another person</w:t>
      </w:r>
    </w:p>
    <w:p w:rsidR="00940144" w:rsidRPr="00C477DF" w:rsidRDefault="00940144"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2. The immediate possession of which the person is entitled. </w:t>
      </w:r>
    </w:p>
    <w:p w:rsidR="00940144" w:rsidRPr="00C477DF" w:rsidRDefault="00940144"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An action in detinue is a claim for the specific return of a chattel wrongfully retained, or for payment of its current market value and any consequential damages. Anybody who wrong fully takes, detains, or retains a chattel, and after a proper demand for it, refuses, or fails to return it to the claimant without lawful excuse may be sued in detinue to recover it or its value. In the United Kingdom, the Torts (Interference with Goods) Act 1977 has abolished the tort of detinue as a separate tort, and merged it with the tort of conversion where it is now known as conversion by detinue or detention. In Nigeria, it still exists as a separate tort. Examples of detinue, that is, detention or retention of goods are many and include the following: </w:t>
      </w:r>
    </w:p>
    <w:p w:rsidR="00940144" w:rsidRPr="00C477DF" w:rsidRDefault="00940144"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1. A lends his chairs and tables to B for a one day party, and B neglects, refuses or fails to return the furniture at the end of the day as agreed or after the expiration of a reasonable period of time. . </w:t>
      </w:r>
    </w:p>
    <w:p w:rsidR="00940144" w:rsidRPr="00C477DF" w:rsidRDefault="00940144"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2. C gives his radio set to D and pays him to repair it, and D fails or refuses to release or return it after a demand has been made on him for its return. In each of these circumstances, there is a right of action to sue for detinue of the chattel.</w:t>
      </w:r>
    </w:p>
    <w:p w:rsidR="00FA6F77" w:rsidRPr="00C477DF" w:rsidRDefault="00FA6F77" w:rsidP="00577389">
      <w:pPr>
        <w:spacing w:line="360" w:lineRule="auto"/>
        <w:ind w:left="360"/>
        <w:rPr>
          <w:rFonts w:ascii="Times New Roman" w:hAnsi="Times New Roman" w:cs="Times New Roman"/>
          <w:sz w:val="28"/>
          <w:szCs w:val="28"/>
        </w:rPr>
      </w:pPr>
    </w:p>
    <w:p w:rsidR="00FA6F77" w:rsidRPr="00C477DF" w:rsidRDefault="00FA6F77" w:rsidP="00577389">
      <w:pPr>
        <w:spacing w:line="360" w:lineRule="auto"/>
        <w:ind w:left="360"/>
        <w:rPr>
          <w:rFonts w:ascii="Times New Roman" w:hAnsi="Times New Roman" w:cs="Times New Roman"/>
          <w:sz w:val="28"/>
          <w:szCs w:val="28"/>
        </w:rPr>
      </w:pPr>
      <w:r w:rsidRPr="00C477DF">
        <w:rPr>
          <w:rFonts w:ascii="Times New Roman" w:hAnsi="Times New Roman" w:cs="Times New Roman"/>
          <w:b/>
          <w:sz w:val="28"/>
          <w:szCs w:val="28"/>
        </w:rPr>
        <w:t xml:space="preserve">                                           When to Sue for Detinue</w:t>
      </w:r>
      <w:r w:rsidRPr="00C477DF">
        <w:rPr>
          <w:rFonts w:ascii="Times New Roman" w:hAnsi="Times New Roman" w:cs="Times New Roman"/>
          <w:sz w:val="28"/>
          <w:szCs w:val="28"/>
        </w:rPr>
        <w:t xml:space="preserve"> </w:t>
      </w:r>
    </w:p>
    <w:p w:rsidR="00FA6F77" w:rsidRPr="00C477DF" w:rsidRDefault="00FA6F77"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A plaintiff can only maintain action for the tort of detinue after satisfying two conditions which are: </w:t>
      </w:r>
    </w:p>
    <w:p w:rsidR="00FA6F77" w:rsidRPr="00C477DF" w:rsidRDefault="00FA6F77"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lastRenderedPageBreak/>
        <w:t>1. The plaintiff must have title that is ownership or right to immediate possession of the chattel.</w:t>
      </w:r>
    </w:p>
    <w:p w:rsidR="00FA6F77" w:rsidRPr="00C477DF" w:rsidRDefault="00FA6F77"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2. 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detinue. </w:t>
      </w:r>
    </w:p>
    <w:p w:rsidR="00FA6F77" w:rsidRPr="00C477DF" w:rsidRDefault="00FA6F77" w:rsidP="00577389">
      <w:pPr>
        <w:spacing w:line="360" w:lineRule="auto"/>
        <w:ind w:left="360"/>
        <w:rPr>
          <w:rFonts w:ascii="Times New Roman" w:hAnsi="Times New Roman" w:cs="Times New Roman"/>
          <w:sz w:val="28"/>
          <w:szCs w:val="28"/>
        </w:rPr>
      </w:pPr>
      <w:r w:rsidRPr="00C477DF">
        <w:rPr>
          <w:rFonts w:ascii="Times New Roman" w:hAnsi="Times New Roman" w:cs="Times New Roman"/>
          <w:b/>
          <w:sz w:val="28"/>
          <w:szCs w:val="28"/>
        </w:rPr>
        <w:t xml:space="preserve">In </w:t>
      </w:r>
      <w:r w:rsidR="00FE1381" w:rsidRPr="00C477DF">
        <w:rPr>
          <w:rFonts w:ascii="Times New Roman" w:hAnsi="Times New Roman" w:cs="Times New Roman"/>
          <w:b/>
          <w:sz w:val="28"/>
          <w:szCs w:val="28"/>
        </w:rPr>
        <w:t xml:space="preserve">Kosile v </w:t>
      </w:r>
      <w:r w:rsidRPr="00C477DF">
        <w:rPr>
          <w:rFonts w:ascii="Times New Roman" w:hAnsi="Times New Roman" w:cs="Times New Roman"/>
          <w:b/>
          <w:sz w:val="28"/>
          <w:szCs w:val="28"/>
        </w:rPr>
        <w:t>Folarin</w:t>
      </w:r>
      <w:r w:rsidRPr="00C477DF">
        <w:rPr>
          <w:rFonts w:ascii="Times New Roman" w:hAnsi="Times New Roman" w:cs="Times New Roman"/>
          <w:sz w:val="28"/>
          <w:szCs w:val="28"/>
        </w:rPr>
        <w:t xml:space="preserve"> (1989) 3 NWLR </w:t>
      </w:r>
      <w:proofErr w:type="spellStart"/>
      <w:r w:rsidRPr="00C477DF">
        <w:rPr>
          <w:rFonts w:ascii="Times New Roman" w:hAnsi="Times New Roman" w:cs="Times New Roman"/>
          <w:sz w:val="28"/>
          <w:szCs w:val="28"/>
        </w:rPr>
        <w:t>pt</w:t>
      </w:r>
      <w:proofErr w:type="spellEnd"/>
      <w:r w:rsidRPr="00C477DF">
        <w:rPr>
          <w:rFonts w:ascii="Times New Roman" w:hAnsi="Times New Roman" w:cs="Times New Roman"/>
          <w:sz w:val="28"/>
          <w:szCs w:val="28"/>
        </w:rPr>
        <w:t xml:space="preserve"> 107, p. 1 SC, The defendant motor dealer seized and detained the motor vehicle he had sold to the plaintiff on credit terms, upon delay by the plaintiff to fully pay up. The plaintiff buyer sued for detinue claiming damages. The Supreme Court held: inter alia that the seizure and detention of the vehicle by the defendant was wrong. The plaintiff was entitled to the return of the vehicle or its value and for loss of the use of the vehicle until the date of judgment at the rate of N20 per day.</w:t>
      </w:r>
    </w:p>
    <w:p w:rsidR="00FA6F77" w:rsidRPr="00C477DF" w:rsidRDefault="00FA6F77"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In the above case, the Supreme Court emphasized the requirement that in an action for detinue, there must have been a demand by the plaintiff on the defendant to return the chattel, and if the defendant persists in keeping the chattel, he is liable for detinue.</w:t>
      </w:r>
    </w:p>
    <w:p w:rsidR="0094540A" w:rsidRPr="00C477DF" w:rsidRDefault="0094540A" w:rsidP="00577389">
      <w:pPr>
        <w:spacing w:line="360" w:lineRule="auto"/>
        <w:ind w:left="360"/>
        <w:rPr>
          <w:rFonts w:ascii="Times New Roman" w:hAnsi="Times New Roman" w:cs="Times New Roman"/>
          <w:b/>
          <w:sz w:val="28"/>
          <w:szCs w:val="28"/>
        </w:rPr>
      </w:pPr>
      <w:r w:rsidRPr="00C477DF">
        <w:rPr>
          <w:rFonts w:ascii="Times New Roman" w:hAnsi="Times New Roman" w:cs="Times New Roman"/>
          <w:sz w:val="28"/>
          <w:szCs w:val="28"/>
        </w:rPr>
        <w:t xml:space="preserve">                           </w:t>
      </w:r>
      <w:r w:rsidRPr="00C477DF">
        <w:rPr>
          <w:rFonts w:ascii="Times New Roman" w:hAnsi="Times New Roman" w:cs="Times New Roman"/>
          <w:b/>
          <w:sz w:val="28"/>
          <w:szCs w:val="28"/>
        </w:rPr>
        <w:t>The Differences between Conversion and Detinue</w:t>
      </w:r>
    </w:p>
    <w:p w:rsidR="0094540A" w:rsidRPr="00C477DF" w:rsidRDefault="0094540A"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Detinue covers the same ground as the tort of conversion by detention. However, some differences are to be noted which include the following: </w:t>
      </w:r>
    </w:p>
    <w:p w:rsidR="0094540A" w:rsidRPr="00C477DF" w:rsidRDefault="0094540A"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1. The refusal to surrender or return a chattel on demand is the essence of detinue, or detention. There must have been a demand for return of the chattel.</w:t>
      </w:r>
    </w:p>
    <w:p w:rsidR="00FA6F77" w:rsidRPr="00C477DF" w:rsidRDefault="0094540A"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lastRenderedPageBreak/>
        <w:t xml:space="preserve"> 2. 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w:t>
      </w:r>
    </w:p>
    <w:p w:rsidR="004207E0" w:rsidRPr="00C477DF" w:rsidRDefault="004207E0" w:rsidP="00577389">
      <w:pPr>
        <w:spacing w:line="360" w:lineRule="auto"/>
        <w:ind w:left="360"/>
        <w:rPr>
          <w:rFonts w:ascii="Times New Roman" w:hAnsi="Times New Roman" w:cs="Times New Roman"/>
          <w:sz w:val="28"/>
          <w:szCs w:val="28"/>
        </w:rPr>
      </w:pPr>
    </w:p>
    <w:p w:rsidR="00CD494E" w:rsidRPr="00C477DF" w:rsidRDefault="00CD494E" w:rsidP="00577389">
      <w:pPr>
        <w:spacing w:line="360" w:lineRule="auto"/>
        <w:ind w:left="360"/>
        <w:rPr>
          <w:rFonts w:ascii="Times New Roman" w:hAnsi="Times New Roman" w:cs="Times New Roman"/>
          <w:b/>
          <w:sz w:val="28"/>
          <w:szCs w:val="28"/>
        </w:rPr>
      </w:pPr>
      <w:r w:rsidRPr="00C477DF">
        <w:rPr>
          <w:rFonts w:ascii="Times New Roman" w:hAnsi="Times New Roman" w:cs="Times New Roman"/>
          <w:sz w:val="28"/>
          <w:szCs w:val="28"/>
        </w:rPr>
        <w:t xml:space="preserve">                                               </w:t>
      </w:r>
      <w:r w:rsidR="004207E0" w:rsidRPr="00C477DF">
        <w:rPr>
          <w:rFonts w:ascii="Times New Roman" w:hAnsi="Times New Roman" w:cs="Times New Roman"/>
          <w:b/>
          <w:sz w:val="28"/>
          <w:szCs w:val="28"/>
        </w:rPr>
        <w:t>The Defences for Detinue</w:t>
      </w:r>
    </w:p>
    <w:p w:rsidR="00CD494E" w:rsidRPr="00C477DF" w:rsidRDefault="004207E0"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In an action for detinue, a defendant may plead that: </w:t>
      </w:r>
    </w:p>
    <w:p w:rsidR="00CD494E" w:rsidRPr="00C477DF" w:rsidRDefault="004207E0"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1. He has mere possession of the goods</w:t>
      </w:r>
    </w:p>
    <w:p w:rsidR="00CD494E" w:rsidRPr="00C477DF" w:rsidRDefault="004207E0"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2. That the plaintiff has insufficient title as compared to himself </w:t>
      </w:r>
    </w:p>
    <w:p w:rsidR="004207E0" w:rsidRPr="00C477DF" w:rsidRDefault="004207E0"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3. The defendant may plead jus tertii, that is, a third party person has a better title, provided the defendant is the agent, or has the authority of the third party, or is claiming under the third party.</w:t>
      </w:r>
    </w:p>
    <w:p w:rsidR="00774736" w:rsidRPr="00C477DF" w:rsidRDefault="00774736"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4. Innocent delivery </w:t>
      </w:r>
    </w:p>
    <w:p w:rsidR="00774736" w:rsidRPr="00C477DF" w:rsidRDefault="00774736"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5. Subsisting bailment</w:t>
      </w:r>
    </w:p>
    <w:p w:rsidR="00774736" w:rsidRPr="00C477DF" w:rsidRDefault="00774736"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6. Subsisting lien on the chattel. </w:t>
      </w:r>
      <w:proofErr w:type="spellStart"/>
      <w:r w:rsidRPr="00C477DF">
        <w:rPr>
          <w:rFonts w:ascii="Times New Roman" w:hAnsi="Times New Roman" w:cs="Times New Roman"/>
          <w:sz w:val="28"/>
          <w:szCs w:val="28"/>
        </w:rPr>
        <w:t>Otubu</w:t>
      </w:r>
      <w:proofErr w:type="spellEnd"/>
      <w:r w:rsidRPr="00C477DF">
        <w:rPr>
          <w:rFonts w:ascii="Times New Roman" w:hAnsi="Times New Roman" w:cs="Times New Roman"/>
          <w:sz w:val="28"/>
          <w:szCs w:val="28"/>
        </w:rPr>
        <w:t xml:space="preserve"> v </w:t>
      </w:r>
      <w:proofErr w:type="spellStart"/>
      <w:r w:rsidRPr="00C477DF">
        <w:rPr>
          <w:rFonts w:ascii="Times New Roman" w:hAnsi="Times New Roman" w:cs="Times New Roman"/>
          <w:sz w:val="28"/>
          <w:szCs w:val="28"/>
        </w:rPr>
        <w:t>Omotayo</w:t>
      </w:r>
      <w:proofErr w:type="spellEnd"/>
      <w:r w:rsidRPr="00C477DF">
        <w:rPr>
          <w:rFonts w:ascii="Times New Roman" w:hAnsi="Times New Roman" w:cs="Times New Roman"/>
          <w:sz w:val="28"/>
          <w:szCs w:val="28"/>
        </w:rPr>
        <w:t xml:space="preserve"> (supra) </w:t>
      </w:r>
    </w:p>
    <w:p w:rsidR="00774736" w:rsidRPr="00C477DF" w:rsidRDefault="00774736"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7. Temporary retention of the chattel to enable steps to be taken to check the title of the plaintiff</w:t>
      </w:r>
    </w:p>
    <w:p w:rsidR="00774736" w:rsidRPr="00C477DF" w:rsidRDefault="00774736"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8. Inevitable accident.</w:t>
      </w:r>
    </w:p>
    <w:p w:rsidR="00774736" w:rsidRPr="00C477DF" w:rsidRDefault="00774736" w:rsidP="00577389">
      <w:pPr>
        <w:spacing w:line="360" w:lineRule="auto"/>
        <w:ind w:left="360"/>
        <w:rPr>
          <w:rFonts w:ascii="Times New Roman" w:hAnsi="Times New Roman" w:cs="Times New Roman"/>
          <w:sz w:val="28"/>
          <w:szCs w:val="28"/>
        </w:rPr>
      </w:pPr>
      <w:r w:rsidRPr="00C477DF">
        <w:rPr>
          <w:rFonts w:ascii="Times New Roman" w:hAnsi="Times New Roman" w:cs="Times New Roman"/>
          <w:b/>
          <w:sz w:val="28"/>
          <w:szCs w:val="28"/>
        </w:rPr>
        <w:lastRenderedPageBreak/>
        <w:t xml:space="preserve">                                                 The Remedies for Detinue</w:t>
      </w:r>
    </w:p>
    <w:p w:rsidR="00774736" w:rsidRPr="00C477DF" w:rsidRDefault="00774736"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When a person's chattel is detained by another person, the person who is denied possession or use of such chattel, has several remedies open to him which include: </w:t>
      </w:r>
    </w:p>
    <w:p w:rsidR="00774736" w:rsidRPr="00C477DF" w:rsidRDefault="00774736"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1. Claim for return of the specific chattel</w:t>
      </w:r>
    </w:p>
    <w:p w:rsidR="00774736" w:rsidRPr="00C477DF" w:rsidRDefault="00774736"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2. Claim for replacement of the chattel </w:t>
      </w:r>
    </w:p>
    <w:p w:rsidR="00774736" w:rsidRPr="00C477DF" w:rsidRDefault="00774736"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3. Claim for the current market value of the chattel</w:t>
      </w:r>
    </w:p>
    <w:p w:rsidR="00774736" w:rsidRPr="00C477DF" w:rsidRDefault="00774736"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4. Recapture or self-help to recover the goods. </w:t>
      </w:r>
    </w:p>
    <w:p w:rsidR="00774736" w:rsidRPr="00C477DF" w:rsidRDefault="00774736"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5. Replevin that is release on bond pending determination of ownership.</w:t>
      </w:r>
    </w:p>
    <w:p w:rsidR="001A6077" w:rsidRPr="00C477DF" w:rsidRDefault="001A6077" w:rsidP="00577389">
      <w:pPr>
        <w:spacing w:line="360" w:lineRule="auto"/>
        <w:ind w:left="360"/>
        <w:rPr>
          <w:rFonts w:ascii="Times New Roman" w:hAnsi="Times New Roman" w:cs="Times New Roman"/>
          <w:sz w:val="28"/>
          <w:szCs w:val="28"/>
        </w:rPr>
      </w:pPr>
      <w:r w:rsidRPr="00C477DF">
        <w:rPr>
          <w:rFonts w:ascii="Times New Roman" w:hAnsi="Times New Roman" w:cs="Times New Roman"/>
          <w:sz w:val="28"/>
          <w:szCs w:val="28"/>
        </w:rPr>
        <w:t xml:space="preserve"> 6. Damages</w:t>
      </w:r>
    </w:p>
    <w:p w:rsidR="001A6077" w:rsidRPr="00C477DF" w:rsidRDefault="001A6077" w:rsidP="00577389">
      <w:pPr>
        <w:spacing w:line="360" w:lineRule="auto"/>
        <w:ind w:left="360"/>
        <w:rPr>
          <w:rFonts w:ascii="Times New Roman" w:hAnsi="Times New Roman" w:cs="Times New Roman"/>
          <w:sz w:val="28"/>
          <w:szCs w:val="28"/>
        </w:rPr>
      </w:pPr>
    </w:p>
    <w:p w:rsidR="001A6077" w:rsidRPr="00C477DF" w:rsidRDefault="001A6077" w:rsidP="000608F6">
      <w:pPr>
        <w:spacing w:line="360" w:lineRule="auto"/>
        <w:rPr>
          <w:rFonts w:ascii="Times New Roman" w:hAnsi="Times New Roman" w:cs="Times New Roman"/>
          <w:b/>
          <w:sz w:val="28"/>
          <w:szCs w:val="28"/>
        </w:rPr>
      </w:pPr>
      <w:r w:rsidRPr="00C477DF">
        <w:rPr>
          <w:rFonts w:ascii="Times New Roman" w:hAnsi="Times New Roman" w:cs="Times New Roman"/>
          <w:sz w:val="28"/>
          <w:szCs w:val="28"/>
        </w:rPr>
        <w:t xml:space="preserve"> </w:t>
      </w:r>
      <w:r w:rsidR="00115AFB" w:rsidRPr="00C477DF">
        <w:rPr>
          <w:rFonts w:ascii="Times New Roman" w:hAnsi="Times New Roman" w:cs="Times New Roman"/>
          <w:b/>
          <w:sz w:val="28"/>
          <w:szCs w:val="28"/>
        </w:rPr>
        <w:t xml:space="preserve">Reference: </w:t>
      </w:r>
      <w:proofErr w:type="gramStart"/>
      <w:r w:rsidR="00577389" w:rsidRPr="00C477DF">
        <w:rPr>
          <w:rFonts w:ascii="Times New Roman" w:hAnsi="Times New Roman" w:cs="Times New Roman"/>
          <w:b/>
          <w:sz w:val="28"/>
          <w:szCs w:val="28"/>
        </w:rPr>
        <w:t>E</w:t>
      </w:r>
      <w:r w:rsidR="000608F6" w:rsidRPr="00C477DF">
        <w:rPr>
          <w:rFonts w:ascii="Times New Roman" w:hAnsi="Times New Roman" w:cs="Times New Roman"/>
          <w:b/>
          <w:sz w:val="28"/>
          <w:szCs w:val="28"/>
        </w:rPr>
        <w:t>se</w:t>
      </w:r>
      <w:proofErr w:type="gramEnd"/>
      <w:r w:rsidR="000608F6" w:rsidRPr="00C477DF">
        <w:rPr>
          <w:rFonts w:ascii="Times New Roman" w:hAnsi="Times New Roman" w:cs="Times New Roman"/>
          <w:b/>
          <w:sz w:val="28"/>
          <w:szCs w:val="28"/>
        </w:rPr>
        <w:t xml:space="preserve"> malemi law of torts and </w:t>
      </w:r>
      <w:r w:rsidRPr="00C477DF">
        <w:rPr>
          <w:rFonts w:ascii="Times New Roman" w:hAnsi="Times New Roman" w:cs="Times New Roman"/>
          <w:b/>
          <w:sz w:val="28"/>
          <w:szCs w:val="28"/>
        </w:rPr>
        <w:t xml:space="preserve">National </w:t>
      </w:r>
      <w:r w:rsidR="000608F6" w:rsidRPr="00C477DF">
        <w:rPr>
          <w:rFonts w:ascii="Times New Roman" w:hAnsi="Times New Roman" w:cs="Times New Roman"/>
          <w:b/>
          <w:sz w:val="28"/>
          <w:szCs w:val="28"/>
        </w:rPr>
        <w:t>Open University</w:t>
      </w:r>
      <w:r w:rsidR="00577389" w:rsidRPr="00C477DF">
        <w:rPr>
          <w:rFonts w:ascii="Times New Roman" w:hAnsi="Times New Roman" w:cs="Times New Roman"/>
          <w:b/>
          <w:sz w:val="28"/>
          <w:szCs w:val="28"/>
        </w:rPr>
        <w:t xml:space="preserve"> law of torts</w:t>
      </w:r>
      <w:r w:rsidRPr="00C477DF">
        <w:rPr>
          <w:rFonts w:ascii="Times New Roman" w:hAnsi="Times New Roman" w:cs="Times New Roman"/>
          <w:b/>
          <w:sz w:val="28"/>
          <w:szCs w:val="28"/>
        </w:rPr>
        <w:t xml:space="preserve"> notes</w:t>
      </w:r>
      <w:r w:rsidR="00577389" w:rsidRPr="00C477DF">
        <w:rPr>
          <w:rFonts w:ascii="Times New Roman" w:hAnsi="Times New Roman" w:cs="Times New Roman"/>
          <w:b/>
          <w:sz w:val="28"/>
          <w:szCs w:val="28"/>
        </w:rPr>
        <w:t>.</w:t>
      </w:r>
    </w:p>
    <w:p w:rsidR="004257CE" w:rsidRPr="00C477DF" w:rsidRDefault="004257CE" w:rsidP="00577389">
      <w:pPr>
        <w:spacing w:line="360" w:lineRule="auto"/>
        <w:ind w:left="360"/>
        <w:rPr>
          <w:rFonts w:ascii="Times New Roman" w:hAnsi="Times New Roman" w:cs="Times New Roman"/>
          <w:sz w:val="28"/>
          <w:szCs w:val="28"/>
        </w:rPr>
      </w:pPr>
    </w:p>
    <w:p w:rsidR="004257CE" w:rsidRPr="00774736" w:rsidRDefault="004257CE" w:rsidP="00577389">
      <w:pPr>
        <w:spacing w:line="360" w:lineRule="auto"/>
        <w:ind w:left="360"/>
        <w:rPr>
          <w:rFonts w:ascii="Times New Roman" w:hAnsi="Times New Roman" w:cs="Times New Roman"/>
          <w:b/>
          <w:sz w:val="24"/>
          <w:szCs w:val="24"/>
        </w:rPr>
      </w:pPr>
    </w:p>
    <w:sectPr w:rsidR="004257CE" w:rsidRPr="0077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7423D"/>
    <w:multiLevelType w:val="multilevel"/>
    <w:tmpl w:val="9D24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8D21B8"/>
    <w:multiLevelType w:val="hybridMultilevel"/>
    <w:tmpl w:val="01F4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5C"/>
    <w:rsid w:val="000608F6"/>
    <w:rsid w:val="000A245B"/>
    <w:rsid w:val="0011282C"/>
    <w:rsid w:val="00115AFB"/>
    <w:rsid w:val="001A6077"/>
    <w:rsid w:val="001F5F24"/>
    <w:rsid w:val="0026561D"/>
    <w:rsid w:val="00285E4B"/>
    <w:rsid w:val="002D3E8F"/>
    <w:rsid w:val="00365E7D"/>
    <w:rsid w:val="003734AF"/>
    <w:rsid w:val="004207E0"/>
    <w:rsid w:val="004257CE"/>
    <w:rsid w:val="004422E5"/>
    <w:rsid w:val="0046495C"/>
    <w:rsid w:val="00577389"/>
    <w:rsid w:val="007444E1"/>
    <w:rsid w:val="00744C2B"/>
    <w:rsid w:val="00774736"/>
    <w:rsid w:val="007D046E"/>
    <w:rsid w:val="00810F51"/>
    <w:rsid w:val="00817F53"/>
    <w:rsid w:val="008E23E6"/>
    <w:rsid w:val="00940144"/>
    <w:rsid w:val="0094540A"/>
    <w:rsid w:val="009D3601"/>
    <w:rsid w:val="00A82BC7"/>
    <w:rsid w:val="00C477DF"/>
    <w:rsid w:val="00CD494E"/>
    <w:rsid w:val="00E64DB5"/>
    <w:rsid w:val="00E65675"/>
    <w:rsid w:val="00EF2830"/>
    <w:rsid w:val="00F14262"/>
    <w:rsid w:val="00FA6F77"/>
    <w:rsid w:val="00FE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555B2-144D-441A-A90C-BCF5A0DE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4422E5"/>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link w:val="Heading2Char"/>
    <w:autoRedefine/>
    <w:uiPriority w:val="9"/>
    <w:unhideWhenUsed/>
    <w:qFormat/>
    <w:rsid w:val="004422E5"/>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Heading3">
    <w:name w:val="heading 3"/>
    <w:basedOn w:val="Normal"/>
    <w:link w:val="Heading3Char"/>
    <w:uiPriority w:val="9"/>
    <w:qFormat/>
    <w:rsid w:val="00810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2E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422E5"/>
    <w:rPr>
      <w:rFonts w:ascii="Times New Roman" w:eastAsiaTheme="majorEastAsia" w:hAnsi="Times New Roman" w:cstheme="majorBidi"/>
      <w:color w:val="000000" w:themeColor="text1"/>
      <w:sz w:val="24"/>
      <w:szCs w:val="26"/>
    </w:rPr>
  </w:style>
  <w:style w:type="paragraph" w:styleId="NormalWeb">
    <w:name w:val="Normal (Web)"/>
    <w:basedOn w:val="Normal"/>
    <w:uiPriority w:val="99"/>
    <w:semiHidden/>
    <w:unhideWhenUsed/>
    <w:rsid w:val="002D3E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E8F"/>
    <w:rPr>
      <w:b/>
      <w:bCs/>
    </w:rPr>
  </w:style>
  <w:style w:type="paragraph" w:styleId="ListParagraph">
    <w:name w:val="List Paragraph"/>
    <w:basedOn w:val="Normal"/>
    <w:uiPriority w:val="34"/>
    <w:qFormat/>
    <w:rsid w:val="00EF2830"/>
    <w:pPr>
      <w:ind w:left="720"/>
      <w:contextualSpacing/>
    </w:pPr>
  </w:style>
  <w:style w:type="character" w:customStyle="1" w:styleId="Heading3Char">
    <w:name w:val="Heading 3 Char"/>
    <w:basedOn w:val="DefaultParagraphFont"/>
    <w:link w:val="Heading3"/>
    <w:uiPriority w:val="9"/>
    <w:rsid w:val="00810F51"/>
    <w:rPr>
      <w:rFonts w:ascii="Times New Roman" w:eastAsia="Times New Roman" w:hAnsi="Times New Roman" w:cs="Times New Roman"/>
      <w:b/>
      <w:bCs/>
      <w:sz w:val="27"/>
      <w:szCs w:val="27"/>
    </w:rPr>
  </w:style>
  <w:style w:type="character" w:styleId="Emphasis">
    <w:name w:val="Emphasis"/>
    <w:basedOn w:val="DefaultParagraphFont"/>
    <w:uiPriority w:val="20"/>
    <w:qFormat/>
    <w:rsid w:val="00810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9067">
      <w:bodyDiv w:val="1"/>
      <w:marLeft w:val="0"/>
      <w:marRight w:val="0"/>
      <w:marTop w:val="0"/>
      <w:marBottom w:val="0"/>
      <w:divBdr>
        <w:top w:val="none" w:sz="0" w:space="0" w:color="auto"/>
        <w:left w:val="none" w:sz="0" w:space="0" w:color="auto"/>
        <w:bottom w:val="none" w:sz="0" w:space="0" w:color="auto"/>
        <w:right w:val="none" w:sz="0" w:space="0" w:color="auto"/>
      </w:divBdr>
    </w:div>
    <w:div w:id="17175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13</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delahappy@outlook.com</dc:creator>
  <cp:keywords/>
  <dc:description/>
  <cp:lastModifiedBy>Damola</cp:lastModifiedBy>
  <cp:revision>16</cp:revision>
  <dcterms:created xsi:type="dcterms:W3CDTF">2021-01-21T18:34:00Z</dcterms:created>
  <dcterms:modified xsi:type="dcterms:W3CDTF">2021-01-27T13:00:00Z</dcterms:modified>
</cp:coreProperties>
</file>