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D82" w:rsidRPr="00E27F75" w:rsidRDefault="002F5D82" w:rsidP="00A36C6F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2F22" w:rsidRPr="00D0426C" w:rsidRDefault="004A4AE1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chattel is any property other than land and immovable property. </w:t>
      </w:r>
      <w:r w:rsidR="0085565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basically means any </w:t>
      </w:r>
      <w:r w:rsidR="00312F2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85565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oods, articles</w:t>
      </w:r>
      <w:r w:rsidR="00312F2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property </w:t>
      </w:r>
      <w:r w:rsidR="0047406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that is not land</w:t>
      </w:r>
      <w:r w:rsidR="00D4147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neither is it an immovable </w:t>
      </w:r>
      <w:r w:rsidR="0096157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property</w:t>
      </w:r>
      <w:r w:rsidR="00D4147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02C4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is basically a moveable </w:t>
      </w:r>
      <w:r w:rsidR="00B23CF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thing that has the capacity</w:t>
      </w:r>
      <w:r w:rsidR="0046007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being own</w:t>
      </w:r>
      <w:r w:rsidR="00E464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ed or controlled </w:t>
      </w:r>
      <w:r w:rsidR="00393C7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by a person</w:t>
      </w:r>
      <w:r w:rsidR="0067791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44B2B" w:rsidRPr="00D0426C" w:rsidRDefault="00961574" w:rsidP="00783F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Trespass</w:t>
      </w:r>
      <w:r w:rsidR="0055669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chattel is any direct and unlawful 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interference</w:t>
      </w:r>
      <w:r w:rsidR="00F9118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a chattel in the possession of another person</w:t>
      </w:r>
      <w:r w:rsidR="00166773" w:rsidRPr="00D0426C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1"/>
      </w:r>
      <w:r w:rsidR="00AC5C7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02C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meaning </w:t>
      </w:r>
      <w:r w:rsidR="00DD329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merely touching 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DD329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  <w:r w:rsidR="00B5612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without causing any damage </w:t>
      </w:r>
      <w:r w:rsidR="00844B2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entitles the 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plaintiff</w:t>
      </w:r>
      <w:r w:rsidR="00844B2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244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right</w:t>
      </w:r>
      <w:r w:rsidR="00844B2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nominal damages.</w:t>
      </w:r>
      <w:r w:rsidR="00374EB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33B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This tort is de</w:t>
      </w:r>
      <w:r w:rsidR="0038245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signed to protect </w:t>
      </w:r>
      <w:r w:rsidR="00374E9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to </w:t>
      </w:r>
      <w:r w:rsidR="002244E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maintain</w:t>
      </w:r>
      <w:r w:rsidR="00374E9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 action for </w:t>
      </w:r>
      <w:r w:rsidR="002244E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trespass</w:t>
      </w:r>
      <w:r w:rsidR="00374E9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2244E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plaintiff</w:t>
      </w:r>
      <w:r w:rsidR="00374E9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must show that he had </w:t>
      </w:r>
      <w:r w:rsidR="002244E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ownership</w:t>
      </w:r>
      <w:r w:rsidR="004A604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</w:t>
      </w:r>
      <w:r w:rsidR="002244E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  <w:r w:rsidR="004A604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902B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r w:rsidR="00D45692"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ERIVO V OBI,</w:t>
      </w:r>
      <w:r w:rsidR="00D4569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the action for trespass to chattel to be actionable, one must pr</w:t>
      </w:r>
      <w:r w:rsidR="006007E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ove that the action of the defendant must have been </w:t>
      </w:r>
      <w:r w:rsidR="00E02AD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done</w:t>
      </w:r>
      <w:r w:rsidR="006007E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either </w:t>
      </w:r>
      <w:r w:rsidR="00906E9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intentionally or negligently.</w:t>
      </w:r>
      <w:r w:rsidR="00F4208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Elements of </w:t>
      </w:r>
      <w:r w:rsidR="00E02AD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trespass</w:t>
      </w:r>
      <w:r w:rsidR="004917C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chatt</w:t>
      </w:r>
      <w:r w:rsidR="004917CF" w:rsidRPr="00D04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</w:t>
      </w:r>
      <w:r w:rsidR="0025727C" w:rsidRPr="00D04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include;</w:t>
      </w:r>
    </w:p>
    <w:p w:rsidR="0025727C" w:rsidRPr="00D0426C" w:rsidRDefault="0025727C" w:rsidP="00783F76">
      <w:pPr>
        <w:pStyle w:val="ListParagraph"/>
        <w:numPr>
          <w:ilvl w:val="1"/>
          <w:numId w:val="8"/>
        </w:numPr>
        <w:shd w:val="clear" w:color="auto" w:fill="FFFFFF"/>
        <w:spacing w:after="0" w:line="480" w:lineRule="auto"/>
        <w:divId w:val="1770851641"/>
        <w:rPr>
          <w:rFonts w:ascii="Times New Roman" w:eastAsia="Times New Roman" w:hAnsi="Times New Roman" w:cs="Times New Roman"/>
          <w:sz w:val="24"/>
          <w:szCs w:val="24"/>
        </w:rPr>
      </w:pPr>
      <w:r w:rsidRPr="00D0426C">
        <w:rPr>
          <w:rFonts w:ascii="Times New Roman" w:eastAsia="Times New Roman" w:hAnsi="Times New Roman" w:cs="Times New Roman"/>
          <w:sz w:val="24"/>
          <w:szCs w:val="24"/>
        </w:rPr>
        <w:t>Intent to trespass</w:t>
      </w:r>
    </w:p>
    <w:p w:rsidR="0025727C" w:rsidRPr="00D0426C" w:rsidRDefault="0025727C" w:rsidP="00783F76">
      <w:pPr>
        <w:pStyle w:val="ListParagraph"/>
        <w:numPr>
          <w:ilvl w:val="1"/>
          <w:numId w:val="8"/>
        </w:numPr>
        <w:shd w:val="clear" w:color="auto" w:fill="FFFFFF"/>
        <w:spacing w:after="0" w:line="480" w:lineRule="auto"/>
        <w:divId w:val="1770851641"/>
        <w:rPr>
          <w:rFonts w:ascii="Times New Roman" w:eastAsia="Times New Roman" w:hAnsi="Times New Roman" w:cs="Times New Roman"/>
          <w:sz w:val="24"/>
          <w:szCs w:val="24"/>
        </w:rPr>
      </w:pPr>
      <w:r w:rsidRPr="00D0426C">
        <w:rPr>
          <w:rFonts w:ascii="Times New Roman" w:eastAsia="Times New Roman" w:hAnsi="Times New Roman" w:cs="Times New Roman"/>
          <w:sz w:val="24"/>
          <w:szCs w:val="24"/>
        </w:rPr>
        <w:t>Lack of owner's consent</w:t>
      </w:r>
    </w:p>
    <w:p w:rsidR="0025727C" w:rsidRPr="00D0426C" w:rsidRDefault="0025727C" w:rsidP="00783F76">
      <w:pPr>
        <w:pStyle w:val="ListParagraph"/>
        <w:numPr>
          <w:ilvl w:val="1"/>
          <w:numId w:val="8"/>
        </w:numPr>
        <w:shd w:val="clear" w:color="auto" w:fill="FFFFFF"/>
        <w:spacing w:after="0" w:line="480" w:lineRule="auto"/>
        <w:divId w:val="1770851641"/>
        <w:rPr>
          <w:rFonts w:ascii="Times New Roman" w:eastAsia="Times New Roman" w:hAnsi="Times New Roman" w:cs="Times New Roman"/>
          <w:sz w:val="24"/>
          <w:szCs w:val="24"/>
        </w:rPr>
      </w:pPr>
      <w:r w:rsidRPr="00D0426C">
        <w:rPr>
          <w:rFonts w:ascii="Times New Roman" w:eastAsia="Times New Roman" w:hAnsi="Times New Roman" w:cs="Times New Roman"/>
          <w:sz w:val="24"/>
          <w:szCs w:val="24"/>
        </w:rPr>
        <w:t>Interference of chattels</w:t>
      </w:r>
    </w:p>
    <w:p w:rsidR="005C3745" w:rsidRPr="00D0426C" w:rsidRDefault="00CF007D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Conversion </w:t>
      </w:r>
      <w:r w:rsidR="006E1722" w:rsidRPr="00D04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is  an </w:t>
      </w:r>
      <w:r w:rsidR="00E02ADA" w:rsidRPr="00D04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interference</w:t>
      </w:r>
      <w:r w:rsidR="002224B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74F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possession </w:t>
      </w:r>
      <w:r w:rsidR="002224B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 disposition of the property </w:t>
      </w:r>
      <w:r w:rsidR="008B2B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another person as if its </w:t>
      </w:r>
      <w:r w:rsidR="00A33A5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one`s own </w:t>
      </w:r>
      <w:r w:rsidR="00374FD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without</w:t>
      </w:r>
      <w:r w:rsidR="00A33A5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any l</w:t>
      </w:r>
      <w:r w:rsidR="00234A2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egal justification</w:t>
      </w:r>
      <w:r w:rsidR="00D81F0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81F0E" w:rsidRPr="00D0426C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2"/>
      </w:r>
      <w:r w:rsidR="00B6057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4FD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Conversion</w:t>
      </w:r>
      <w:r w:rsidR="00990EE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th</w:t>
      </w:r>
      <w:r w:rsidR="00B6057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</w:t>
      </w:r>
      <w:r w:rsidR="0021586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action of wrongfully dealing with goods in a manner inconsistent with the owner's rights.</w:t>
      </w:r>
      <w:r w:rsidR="00B60576" w:rsidRPr="00D0426C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3"/>
      </w:r>
      <w:r w:rsidR="00461BD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conversion is an act of </w:t>
      </w:r>
      <w:r w:rsidR="00374FD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wilful</w:t>
      </w:r>
      <w:r w:rsidR="00461BD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interference, without lawful justification, with any chattel in a manner inconsistent with the right of another, whereby that other is deprived of</w:t>
      </w:r>
      <w:r w:rsidR="00E903A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use and possession of it</w:t>
      </w:r>
      <w:r w:rsidR="006508FB" w:rsidRPr="00D0426C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4"/>
      </w:r>
      <w:r w:rsidR="00375E0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3A3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="00433A3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basically the dealing of another`s property as </w:t>
      </w:r>
      <w:r w:rsidR="00374FD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your</w:t>
      </w:r>
      <w:r w:rsidR="00433A3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own</w:t>
      </w:r>
      <w:r w:rsidR="0037617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33A3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unlawfully</w:t>
      </w:r>
      <w:r w:rsidR="0037617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947C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Elements of </w:t>
      </w:r>
      <w:r w:rsidR="0061251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conversion includes;</w:t>
      </w:r>
    </w:p>
    <w:p w:rsidR="00612514" w:rsidRPr="00D0426C" w:rsidRDefault="00612514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A5B8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he plaintiff owns or has the right to possess the personal property in question at the time of the interference;</w:t>
      </w:r>
    </w:p>
    <w:p w:rsidR="00612514" w:rsidRPr="00D0426C" w:rsidRDefault="00DA5B8C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</w:t>
      </w:r>
      <w:r w:rsidR="0061251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he defendant intentionally interfered with the plaintiff's personal property (sometimes also described as exercising "dominion and control" over it);</w:t>
      </w:r>
    </w:p>
    <w:p w:rsidR="00612514" w:rsidRPr="00D0426C" w:rsidRDefault="00DA5B8C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61251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he interference deprived the plaintiff of possession or use of the personal property in question; and</w:t>
      </w:r>
    </w:p>
    <w:p w:rsidR="00612514" w:rsidRPr="00D0426C" w:rsidRDefault="00DA5B8C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61251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he interference caused damages to the plaintiff.</w:t>
      </w:r>
      <w:r w:rsidR="00AA52EC" w:rsidRPr="00D0426C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5"/>
      </w:r>
    </w:p>
    <w:p w:rsidR="009473D5" w:rsidRPr="00E5655E" w:rsidRDefault="00E5655E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tinue</w:t>
      </w:r>
      <w:proofErr w:type="spellEnd"/>
      <w:r w:rsidR="002F40B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r w:rsidR="00B6591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wrongful detention or retention of a chattel whereby </w:t>
      </w:r>
      <w:r w:rsidR="00C033F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entitled to it is denied the 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possession</w:t>
      </w:r>
      <w:r w:rsidR="00C033F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it.</w:t>
      </w:r>
      <w:r w:rsidR="009910CD" w:rsidRPr="00D0426C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6"/>
      </w:r>
      <w:r w:rsidR="00383C5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can also be defined as </w:t>
      </w:r>
      <w:r w:rsidR="00383C57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the unlawful detention of a personal chattel from another</w:t>
      </w:r>
      <w:r w:rsidR="00570D59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.</w:t>
      </w:r>
      <w:r w:rsidR="00B800C2" w:rsidRPr="00D0426C">
        <w:rPr>
          <w:rStyle w:val="FootnoteReference"/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footnoteReference w:id="7"/>
      </w:r>
      <w:r w:rsidR="00136DC3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 </w:t>
      </w:r>
      <w:r w:rsidR="00570D59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In</w:t>
      </w:r>
      <w:r w:rsidR="00136DC3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 other words, </w:t>
      </w:r>
      <w:proofErr w:type="spellStart"/>
      <w:r w:rsidR="00136DC3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detinue</w:t>
      </w:r>
      <w:proofErr w:type="spellEnd"/>
      <w:r w:rsidR="00136DC3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 is the act of with</w:t>
      </w:r>
      <w:r w:rsidR="008041C4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holding a </w:t>
      </w:r>
      <w:r w:rsidR="00FB3E61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chattel</w:t>
      </w:r>
      <w:r w:rsidR="00FB3E61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 from</w:t>
      </w:r>
      <w:r w:rsidR="008041C4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 its </w:t>
      </w:r>
      <w:r w:rsidR="00FB3E61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rightful</w:t>
      </w:r>
      <w:r w:rsidR="008041C4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 owner.</w:t>
      </w:r>
      <w:r w:rsidR="009473D5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 xml:space="preserve"> There are four elements required to establish </w:t>
      </w:r>
      <w:proofErr w:type="spellStart"/>
      <w:r w:rsidR="009473D5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detinue</w:t>
      </w:r>
      <w:proofErr w:type="spellEnd"/>
      <w:r w:rsidR="009473D5"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:</w:t>
      </w:r>
    </w:p>
    <w:p w:rsidR="009473D5" w:rsidRPr="00D0426C" w:rsidRDefault="009473D5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Make a Demand</w:t>
      </w:r>
    </w:p>
    <w:p w:rsidR="009473D5" w:rsidRPr="00D0426C" w:rsidRDefault="009473D5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Refuse a Demand</w:t>
      </w:r>
    </w:p>
    <w:p w:rsidR="009473D5" w:rsidRPr="00D0426C" w:rsidRDefault="009473D5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Unreasonable Refusal</w:t>
      </w:r>
    </w:p>
    <w:p w:rsidR="00D43316" w:rsidRPr="00D0426C" w:rsidRDefault="009473D5" w:rsidP="00783F76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t>Consequential Damage</w:t>
      </w:r>
      <w:r w:rsidR="00F056AB" w:rsidRPr="00D0426C">
        <w:rPr>
          <w:rStyle w:val="FootnoteReference"/>
          <w:rFonts w:ascii="Times New Roman" w:eastAsia="Times New Roman" w:hAnsi="Times New Roman" w:cs="Times New Roman"/>
          <w:color w:val="212529"/>
          <w:spacing w:val="3"/>
          <w:sz w:val="24"/>
          <w:szCs w:val="24"/>
          <w:shd w:val="clear" w:color="auto" w:fill="FFFFFF"/>
        </w:rPr>
        <w:footnoteReference w:id="8"/>
      </w:r>
    </w:p>
    <w:p w:rsidR="008A6019" w:rsidRPr="00D0426C" w:rsidRDefault="00D43316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Innocent </w:t>
      </w:r>
      <w:r w:rsidR="00113EF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delivery</w:t>
      </w:r>
      <w:r w:rsidR="000D718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occurs when a </w:t>
      </w:r>
      <w:r w:rsidR="00113EF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holder</w:t>
      </w:r>
      <w:r w:rsidR="000D718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goods who is authorized to be in possession if the goods at th</w:t>
      </w:r>
      <w:r w:rsidR="009B133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 moment such </w:t>
      </w:r>
      <w:r w:rsidR="00654A3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d</w:t>
      </w:r>
      <w:r w:rsidR="007A523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elivery man</w:t>
      </w:r>
      <w:r w:rsidR="00DF2E4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3EF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receives</w:t>
      </w:r>
      <w:r w:rsidR="00DF2E4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85BB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goods </w:t>
      </w:r>
      <w:r w:rsidR="007022F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 good faith from a party who h</w:t>
      </w:r>
      <w:r w:rsidR="004D4B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</w:t>
      </w:r>
      <w:r w:rsidR="004D4B4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believes</w:t>
      </w:r>
      <w:r w:rsidR="007022F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own the goods legal and he delivers them</w:t>
      </w:r>
      <w:r w:rsidR="005D4D5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C1BF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C50D8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7C1BF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is not conversion </w:t>
      </w:r>
      <w:r w:rsidR="008A601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neither is innocent </w:t>
      </w:r>
      <w:r w:rsidR="004D4B4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receipt</w:t>
      </w:r>
      <w:r w:rsidR="008A601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goods.</w:t>
      </w:r>
      <w:r w:rsidR="00C8090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0907"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UNIPETROL V PRIMA TANKERS LTD</w:t>
      </w:r>
      <w:r w:rsidR="00C8090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.; </w:t>
      </w:r>
      <w:r w:rsidR="003177C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is </w:t>
      </w:r>
      <w:r w:rsidR="004D4B4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elementary</w:t>
      </w:r>
      <w:r w:rsidR="003177C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law that in a claim for </w:t>
      </w:r>
      <w:r w:rsidR="002239F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conversion</w:t>
      </w:r>
      <w:r w:rsidR="003177C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the claimant is entitled to th</w:t>
      </w:r>
      <w:r w:rsidR="00D640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 return</w:t>
      </w:r>
      <w:r w:rsidR="007B5FA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2239F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7B5FA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article </w:t>
      </w:r>
      <w:r w:rsidR="000B323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seize</w:t>
      </w:r>
      <w:r w:rsidR="007B5FA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missing or in   the </w:t>
      </w:r>
      <w:r w:rsidR="002239F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possession</w:t>
      </w:r>
      <w:r w:rsidR="007B5FA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other party or reimburs</w:t>
      </w:r>
      <w:r w:rsidR="007F31D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ement for its </w:t>
      </w:r>
      <w:r w:rsidR="00BC219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value</w:t>
      </w:r>
      <w:r w:rsidR="007F31D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B2EE9" w:rsidRPr="00D0426C" w:rsidRDefault="00D842B7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Property is generally deemed to have been </w:t>
      </w: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  <w:shd w:val="clear" w:color="auto" w:fill="FFFFFF"/>
        </w:rPr>
        <w:t>lost</w:t>
      </w: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if it is found in a place where the true owner likely did not intend to set it down, and where it is not likely to be found by the true owner. </w:t>
      </w: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At common law, the finder of a lost item could claim the right to possess the item against any person except the true owner or any previous possessors</w:t>
      </w:r>
      <w:r w:rsidR="00022942" w:rsidRPr="00D0426C">
        <w:rPr>
          <w:rStyle w:val="FootnoteReferenc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9"/>
      </w:r>
    </w:p>
    <w:p w:rsidR="00B55E6E" w:rsidRPr="00D0426C" w:rsidRDefault="005208B2" w:rsidP="00783F76">
      <w:pPr>
        <w:spacing w:line="48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</w:t>
      </w:r>
      <w:r w:rsidR="00173BE5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lost property rule </w:t>
      </w:r>
      <w:r w:rsidR="00BC219D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was settled</w:t>
      </w:r>
      <w:r w:rsidR="00173BE5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by the English Court Appeal in </w:t>
      </w:r>
      <w:r w:rsidR="00173BE5"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PARKER V BRITISH AIRWA</w:t>
      </w:r>
      <w:r w:rsidR="00D74E13"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YS</w:t>
      </w:r>
      <w:r w:rsidR="00D74E13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B55E6E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The rules are;</w:t>
      </w:r>
    </w:p>
    <w:p w:rsidR="00B55E6E" w:rsidRPr="00D0426C" w:rsidRDefault="00B55E6E" w:rsidP="00783F76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  finder has no right over the </w:t>
      </w:r>
      <w:r w:rsidR="00BC219D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chattel</w:t>
      </w: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except </w:t>
      </w:r>
      <w:r w:rsidR="007968C7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it was abandoned r lost and he takes it into his care and control.</w:t>
      </w:r>
    </w:p>
    <w:p w:rsidR="007968C7" w:rsidRPr="00D0426C" w:rsidRDefault="002460C8" w:rsidP="00783F76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</w:t>
      </w:r>
      <w:r w:rsidR="002A1A95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employer</w:t>
      </w: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acquires the right of a finder if his </w:t>
      </w:r>
      <w:r w:rsidR="002A1A95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employee</w:t>
      </w: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finds the chattel </w:t>
      </w:r>
      <w:r w:rsidR="00215904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during </w:t>
      </w:r>
      <w:r w:rsidR="00DE38E7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r w:rsidR="00215904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course of his employment.</w:t>
      </w:r>
    </w:p>
    <w:p w:rsidR="00215904" w:rsidRPr="00D0426C" w:rsidRDefault="00DB10F3" w:rsidP="00783F76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An occupier of land or a builder has superior rights to that of a finder. </w:t>
      </w:r>
      <w:r w:rsidR="006602CD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In </w:t>
      </w:r>
      <w:r w:rsidR="006602CD"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SOUTH STAFFORDSHIRE WATER CO V SHARMAN</w:t>
      </w:r>
      <w:r w:rsidR="00D466A1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; the rings found in a pool of mud belonged to the land owner. This </w:t>
      </w:r>
      <w:r w:rsidR="00DE38E7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also</w:t>
      </w:r>
      <w:r w:rsidR="00D466A1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DE38E7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happens</w:t>
      </w:r>
      <w:r w:rsidR="00D466A1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the case</w:t>
      </w:r>
      <w:r w:rsidR="00B06340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r w:rsidR="00B06340"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ELWES V BRIGGS GAS CO</w:t>
      </w:r>
      <w:r w:rsidR="00B06340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Where </w:t>
      </w:r>
      <w:r w:rsidR="002A22F7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 pre-hostriric boat discovered </w:t>
      </w:r>
      <w:r w:rsidR="0035548E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6-feeet below the surface.</w:t>
      </w:r>
    </w:p>
    <w:p w:rsidR="0033494A" w:rsidRPr="00D0426C" w:rsidRDefault="0033494A" w:rsidP="00783F76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However the </w:t>
      </w:r>
      <w:r w:rsidR="00B1327B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occupier</w:t>
      </w: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the and des not  have </w:t>
      </w:r>
      <w:r w:rsidR="00A204B0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superior rights to those of a finder </w:t>
      </w:r>
      <w:r w:rsidR="00225EE6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in respect of goods found except in situations where </w:t>
      </w:r>
      <w:proofErr w:type="spellStart"/>
      <w:r w:rsidR="00225EE6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te</w:t>
      </w:r>
      <w:proofErr w:type="spellEnd"/>
      <w:r w:rsidR="00225EE6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occupier has before the finder </w:t>
      </w:r>
      <w:r w:rsidR="002B41C5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expressed an</w:t>
      </w:r>
      <w:r w:rsidR="00F06719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intention to exercise control over </w:t>
      </w:r>
      <w:proofErr w:type="spellStart"/>
      <w:r w:rsidR="00F06719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th</w:t>
      </w:r>
      <w:proofErr w:type="spellEnd"/>
      <w:r w:rsidR="00F06719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premises an all things on it.</w:t>
      </w:r>
    </w:p>
    <w:p w:rsidR="002824A3" w:rsidRPr="00D0426C" w:rsidRDefault="002824A3" w:rsidP="00783F76">
      <w:pPr>
        <w:spacing w:line="480" w:lineRule="auto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rules established is often not easy to </w:t>
      </w:r>
      <w:r w:rsidR="009D394F" w:rsidRPr="00D0426C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apply though. </w:t>
      </w:r>
    </w:p>
    <w:p w:rsidR="008C2FD5" w:rsidRPr="00D0426C" w:rsidRDefault="008C2FD5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Examples of </w:t>
      </w:r>
      <w:r w:rsidR="002B41C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conversion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include, </w:t>
      </w:r>
    </w:p>
    <w:p w:rsidR="004A760F" w:rsidRPr="00D0426C" w:rsidRDefault="00413C32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Wrongful sale</w:t>
      </w:r>
    </w:p>
    <w:p w:rsidR="00413C32" w:rsidRPr="00D0426C" w:rsidRDefault="00413C32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Wrongful delivery</w:t>
      </w:r>
      <w:r w:rsidR="0042677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A6C6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one`s </w:t>
      </w:r>
      <w:r w:rsidR="002B41C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property</w:t>
      </w:r>
      <w:r w:rsidR="00BA6C6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another who </w:t>
      </w:r>
      <w:r w:rsidR="002B41C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doesn’t</w:t>
      </w:r>
      <w:r w:rsidR="00BA6C6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have title to </w:t>
      </w:r>
      <w:r w:rsidR="002B41C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possess</w:t>
      </w:r>
      <w:r w:rsidR="00BA6C6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goods legally is conversion</w:t>
      </w:r>
    </w:p>
    <w:p w:rsidR="00413C32" w:rsidRPr="00D0426C" w:rsidRDefault="002B41C5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Detention</w:t>
      </w:r>
      <w:r w:rsidR="00C87F8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22463" w:rsidRPr="00D0426C" w:rsidRDefault="00222463" w:rsidP="00783F7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ARMORY V DELAMIRIE;</w:t>
      </w:r>
      <w:r w:rsidR="001E073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finder of </w:t>
      </w:r>
      <w:r w:rsidR="00E5417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property has a good title and has the right to </w:t>
      </w:r>
      <w:r w:rsidR="0065034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protect the goods against all persons </w:t>
      </w:r>
      <w:r w:rsidR="002B41C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except</w:t>
      </w:r>
      <w:r w:rsidR="00E32EB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owner</w:t>
      </w:r>
      <w:r w:rsidR="002556A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However</w:t>
      </w:r>
      <w:r w:rsidR="00AA272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temporary </w:t>
      </w:r>
      <w:r w:rsidR="002B41C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reasonable</w:t>
      </w:r>
      <w:r w:rsidR="00AA272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45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refusal</w:t>
      </w:r>
      <w:r w:rsidR="00C545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t</w:t>
      </w:r>
      <w:r w:rsidR="00AA272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finder of a property to hand </w:t>
      </w:r>
      <w:r w:rsidR="00844B5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it over to a  claima</w:t>
      </w:r>
      <w:r w:rsidR="000E5E2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nt is nit actionable except where the refusal is adverse to the owner</w:t>
      </w:r>
      <w:r w:rsidR="0068683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`s better title.</w:t>
      </w:r>
    </w:p>
    <w:p w:rsidR="00062DB5" w:rsidRPr="00D0426C" w:rsidRDefault="00413C32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Damaging/ destroying </w:t>
      </w:r>
      <w:r w:rsidR="00062DB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94022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goods</w:t>
      </w:r>
      <w:r w:rsidR="009952D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however, </w:t>
      </w:r>
      <w:r w:rsidR="00187AD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mere damaging </w:t>
      </w:r>
      <w:r w:rsidR="003E6B4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the goods is not enough to prove </w:t>
      </w:r>
      <w:r w:rsidR="00BD5ED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conversion as mere damage proves </w:t>
      </w:r>
      <w:r w:rsidR="00C545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trespass</w:t>
      </w:r>
      <w:r w:rsidR="00BD5ED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</w:t>
      </w:r>
      <w:r w:rsidR="00B87A1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45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  <w:r w:rsidR="00B87A1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62DB5" w:rsidRPr="00D0426C" w:rsidRDefault="00062DB5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Alteration</w:t>
      </w:r>
      <w:r w:rsidR="0013606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goods in any way </w:t>
      </w:r>
      <w:r w:rsidR="00C545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whatsoever</w:t>
      </w:r>
    </w:p>
    <w:p w:rsidR="00062DB5" w:rsidRPr="00D0426C" w:rsidRDefault="00062DB5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Taking</w:t>
      </w:r>
      <w:r w:rsidR="00E576C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E2F5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defendants goods without legal justification</w:t>
      </w:r>
    </w:p>
    <w:p w:rsidR="00062DB5" w:rsidRPr="00D0426C" w:rsidRDefault="00062DB5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Using the </w:t>
      </w:r>
      <w:r w:rsidR="00C545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plaintiff’s</w:t>
      </w:r>
      <w:r w:rsidR="008E051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goods as if its one`s own</w:t>
      </w:r>
    </w:p>
    <w:p w:rsidR="00E576CC" w:rsidRPr="00D0426C" w:rsidRDefault="00C54573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Consumption</w:t>
      </w:r>
      <w:r w:rsidR="0094022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goods or sing the goods.</w:t>
      </w:r>
    </w:p>
    <w:p w:rsidR="002F6123" w:rsidRPr="00D0426C" w:rsidRDefault="002F6123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Receiving</w:t>
      </w:r>
      <w:r w:rsidR="007D12D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the goods from a third party who is not the owner of the  </w:t>
      </w:r>
      <w:r w:rsidR="00E66E3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goods.</w:t>
      </w:r>
    </w:p>
    <w:p w:rsidR="002F6123" w:rsidRPr="00D0426C" w:rsidRDefault="002F6123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Wrongfully </w:t>
      </w:r>
      <w:r w:rsidR="00525CE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refusing to return a </w:t>
      </w:r>
      <w:r w:rsidR="00C545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  <w:r w:rsidR="00525CE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25CE8" w:rsidRPr="00D0426C" w:rsidRDefault="00525CE8" w:rsidP="00783F76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Wrongful sale and disposition of </w:t>
      </w:r>
      <w:r w:rsidR="00BB396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goods not yours</w:t>
      </w:r>
      <w:r w:rsidR="008E6E0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such as transfer of title. </w:t>
      </w:r>
      <w:r w:rsidR="007610B2" w:rsidRPr="00D0426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CHUKWUKA V C.F.A.O. MOTORS LTD</w:t>
      </w:r>
      <w:r w:rsidR="007610B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7234D" w:rsidRPr="00D0426C" w:rsidRDefault="0027234D" w:rsidP="00783F7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241A" w:rsidRPr="00D0426C" w:rsidRDefault="005870C5" w:rsidP="00783F7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People </w:t>
      </w:r>
      <w:r w:rsidR="00D3797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who has a chattel</w:t>
      </w:r>
      <w:r w:rsidR="007536A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052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may sue </w:t>
      </w:r>
      <w:r w:rsidR="00D92A7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any person who meddles with the chatte</w:t>
      </w:r>
      <w:r w:rsidR="0090241A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3F2E3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5268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3F2E3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="00F5268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 person who also has legal possession of the </w:t>
      </w:r>
      <w:r w:rsidR="00BF7E4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goods</w:t>
      </w:r>
      <w:r w:rsidR="00F5268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such as caretakers and </w:t>
      </w:r>
      <w:r w:rsidR="00EA4CE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personal </w:t>
      </w:r>
      <w:r w:rsidR="00BF7E4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representative</w:t>
      </w:r>
      <w:r w:rsidR="00EA4CE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3B33F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BF7E4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deceased</w:t>
      </w:r>
      <w:r w:rsidR="00EC339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653E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Therefore, the list of people who ca</w:t>
      </w:r>
      <w:r w:rsidR="0085108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 sue for trespass includes</w:t>
      </w:r>
      <w:r w:rsidR="00501A0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01A0C" w:rsidRPr="00D0426C" w:rsidRDefault="00501A0C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Owners of the </w:t>
      </w:r>
      <w:r w:rsidR="00BF7E4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</w:p>
    <w:p w:rsidR="00501A0C" w:rsidRPr="00D0426C" w:rsidRDefault="00CC42FE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Lenders </w:t>
      </w:r>
    </w:p>
    <w:p w:rsidR="00CC42FE" w:rsidRPr="00D0426C" w:rsidRDefault="00CC42FE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Trustees</w:t>
      </w:r>
    </w:p>
    <w:p w:rsidR="00CC42FE" w:rsidRPr="00D0426C" w:rsidRDefault="008837BB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CC42F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ustodians</w:t>
      </w:r>
    </w:p>
    <w:p w:rsidR="008837BB" w:rsidRPr="00D0426C" w:rsidRDefault="008837BB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Executors</w:t>
      </w:r>
    </w:p>
    <w:p w:rsidR="008837BB" w:rsidRPr="00D0426C" w:rsidRDefault="00D077B7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8837B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dministrat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ors of estates</w:t>
      </w:r>
    </w:p>
    <w:p w:rsidR="00D077B7" w:rsidRPr="00D0426C" w:rsidRDefault="00BF7E42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Caretakers</w:t>
      </w:r>
      <w:r w:rsidR="00D077B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077B7" w:rsidRPr="00D0426C" w:rsidRDefault="00D077B7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Finders</w:t>
      </w:r>
    </w:p>
    <w:p w:rsidR="00D077B7" w:rsidRPr="00D0426C" w:rsidRDefault="00D077B7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Assignees</w:t>
      </w:r>
    </w:p>
    <w:p w:rsidR="00E3098C" w:rsidRPr="00D0426C" w:rsidRDefault="00E3098C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Bailees</w:t>
      </w:r>
    </w:p>
    <w:p w:rsidR="00E3098C" w:rsidRPr="00D0426C" w:rsidRDefault="00E3098C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Etc. </w:t>
      </w:r>
    </w:p>
    <w:p w:rsidR="00E3098C" w:rsidRPr="00D0426C" w:rsidRDefault="00EA012B" w:rsidP="00783F76">
      <w:pPr>
        <w:spacing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DEFENSES</w:t>
      </w:r>
      <w:r w:rsidR="0069024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A063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AND REMEDIES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TRESPAS</w:t>
      </w:r>
      <w:r w:rsidR="0069024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483CD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CHATTEL</w:t>
      </w:r>
    </w:p>
    <w:p w:rsidR="004A0639" w:rsidRPr="00D0426C" w:rsidRDefault="00223922" w:rsidP="00783F76">
      <w:pPr>
        <w:spacing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Defences</w:t>
      </w:r>
      <w:r w:rsidR="00A8722D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for Tres</w:t>
      </w:r>
      <w:r w:rsidR="009D052D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pass</w:t>
      </w:r>
      <w:r w:rsidR="00483CD0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to Chattel</w:t>
      </w:r>
    </w:p>
    <w:p w:rsidR="004277D9" w:rsidRPr="00D0426C" w:rsidRDefault="00D831FF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Jus Tertii- </w:t>
      </w:r>
      <w:r w:rsidR="00192F0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third party </w:t>
      </w:r>
      <w:r w:rsidR="00294B1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has a better ti</w:t>
      </w:r>
      <w:r w:rsidR="0064789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tle and the defendant has the </w:t>
      </w:r>
      <w:proofErr w:type="spellStart"/>
      <w:r w:rsidR="0064789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autority</w:t>
      </w:r>
      <w:proofErr w:type="spellEnd"/>
      <w:r w:rsidR="0064789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64789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thethird</w:t>
      </w:r>
      <w:proofErr w:type="spellEnd"/>
      <w:r w:rsidR="0064789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party</w:t>
      </w:r>
      <w:r w:rsidR="0068628B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8628B" w:rsidRPr="00D0426C" w:rsidRDefault="0068628B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Inevitable accident</w:t>
      </w:r>
    </w:p>
    <w:p w:rsidR="0068628B" w:rsidRPr="00D0426C" w:rsidRDefault="00223922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Subsisting</w:t>
      </w:r>
      <w:r w:rsidR="00A64FA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lien </w:t>
      </w:r>
    </w:p>
    <w:p w:rsidR="00A64FA0" w:rsidRPr="00D0426C" w:rsidRDefault="00864B8B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A64FA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bsisting bailment</w:t>
      </w:r>
    </w:p>
    <w:p w:rsidR="00864B8B" w:rsidRPr="00D0426C" w:rsidRDefault="00864B8B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Honest convers</w:t>
      </w:r>
      <w:r w:rsidR="00CF16B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ion</w:t>
      </w:r>
    </w:p>
    <w:p w:rsidR="00CF16B8" w:rsidRPr="00D0426C" w:rsidRDefault="00CF16B8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Limitation of time</w:t>
      </w:r>
    </w:p>
    <w:p w:rsidR="00CF16B8" w:rsidRPr="00D0426C" w:rsidRDefault="00CF16B8" w:rsidP="00783F76">
      <w:pPr>
        <w:spacing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Remedies for </w:t>
      </w:r>
      <w:r w:rsidR="00223922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Trespass</w:t>
      </w:r>
      <w:r w:rsidR="00483CD0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to Chattel</w:t>
      </w:r>
    </w:p>
    <w:p w:rsidR="007633B3" w:rsidRPr="00D0426C" w:rsidRDefault="00863329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Repair of damages</w:t>
      </w:r>
    </w:p>
    <w:p w:rsidR="00863329" w:rsidRPr="00D0426C" w:rsidRDefault="00863329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Payment of dama</w:t>
      </w:r>
      <w:r w:rsidR="0097364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ges</w:t>
      </w:r>
    </w:p>
    <w:p w:rsidR="00973647" w:rsidRPr="00D0426C" w:rsidRDefault="00973647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Payment of the market price of the </w:t>
      </w:r>
      <w:r w:rsidR="0022392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</w:p>
    <w:p w:rsidR="00973647" w:rsidRPr="00D0426C" w:rsidRDefault="00223922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Replacement</w:t>
      </w:r>
      <w:r w:rsidR="0097364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082CE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</w:p>
    <w:p w:rsidR="00FE61A9" w:rsidRPr="00D0426C" w:rsidRDefault="00FE61A9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DEFENSES AND REMEDIES</w:t>
      </w:r>
      <w:r w:rsidR="00C5749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48C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="00C5749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r w:rsidR="004929B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CONVERSION</w:t>
      </w:r>
    </w:p>
    <w:p w:rsidR="004929BF" w:rsidRPr="00D0426C" w:rsidRDefault="00246607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0321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Defences for </w:t>
      </w:r>
      <w:r w:rsidR="00EE2C72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Conversion</w:t>
      </w:r>
    </w:p>
    <w:p w:rsidR="00C80321" w:rsidRPr="00D0426C" w:rsidRDefault="00E031D9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Jus </w:t>
      </w:r>
      <w:proofErr w:type="spellStart"/>
      <w:r w:rsidR="00D7402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ertii</w:t>
      </w:r>
      <w:proofErr w:type="spellEnd"/>
    </w:p>
    <w:p w:rsidR="00D74028" w:rsidRPr="00D0426C" w:rsidRDefault="00AF34DC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Subsisting bailment</w:t>
      </w:r>
    </w:p>
    <w:p w:rsidR="00AF34DC" w:rsidRPr="00D0426C" w:rsidRDefault="00EE2C72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Subsisting</w:t>
      </w:r>
      <w:r w:rsidR="00AF34D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lien</w:t>
      </w:r>
    </w:p>
    <w:p w:rsidR="00AF34DC" w:rsidRPr="00D0426C" w:rsidRDefault="00AF34DC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Limitation of time</w:t>
      </w:r>
    </w:p>
    <w:p w:rsidR="00AF34DC" w:rsidRPr="00D0426C" w:rsidRDefault="00AF34DC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Temporary retention</w:t>
      </w:r>
    </w:p>
    <w:p w:rsidR="00AF34DC" w:rsidRPr="00D0426C" w:rsidRDefault="009E62B6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Remedies</w:t>
      </w:r>
      <w:r w:rsidR="00AF34DC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for Conversion</w:t>
      </w:r>
    </w:p>
    <w:p w:rsidR="00AF34DC" w:rsidRPr="00D0426C" w:rsidRDefault="00C34FDF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General damages</w:t>
      </w:r>
    </w:p>
    <w:p w:rsidR="00503C8A" w:rsidRPr="00D0426C" w:rsidRDefault="00073088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Recovery of special </w:t>
      </w:r>
      <w:r w:rsidR="00A4647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and general damage</w:t>
      </w:r>
    </w:p>
    <w:p w:rsidR="00073088" w:rsidRPr="00D0426C" w:rsidRDefault="00503C8A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="00A4647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rder for payment of any </w:t>
      </w:r>
      <w:r w:rsidR="00EE2C7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consequential</w:t>
      </w:r>
      <w:r w:rsidR="00A4647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damages</w:t>
      </w:r>
    </w:p>
    <w:p w:rsidR="00A46470" w:rsidRPr="00D0426C" w:rsidRDefault="00503C8A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Order for delivery, return or specific </w:t>
      </w:r>
      <w:r w:rsidR="008C337E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restitution of the goods</w:t>
      </w:r>
    </w:p>
    <w:p w:rsidR="008C337E" w:rsidRPr="00D0426C" w:rsidRDefault="008C337E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Alternative order for payment of the current </w:t>
      </w:r>
      <w:r w:rsidR="009C307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market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value of the </w:t>
      </w:r>
      <w:r w:rsidR="009C307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448C9" w:rsidRPr="00D0426C" w:rsidRDefault="005448C9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DEFENSES AND REMEDIES </w:t>
      </w:r>
      <w:r w:rsidR="00C57492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FOR DETINUE</w:t>
      </w:r>
    </w:p>
    <w:p w:rsidR="003C06E3" w:rsidRPr="00D0426C" w:rsidRDefault="009C307F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Defence</w:t>
      </w:r>
      <w:r w:rsidR="00C121C6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for </w:t>
      </w:r>
      <w:proofErr w:type="spellStart"/>
      <w:r w:rsidR="00C121C6"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Detinue</w:t>
      </w:r>
      <w:proofErr w:type="spellEnd"/>
    </w:p>
    <w:p w:rsidR="00C121C6" w:rsidRPr="00D0426C" w:rsidRDefault="00D76E62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Mere </w:t>
      </w:r>
      <w:r w:rsidR="009C307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possession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</w:t>
      </w:r>
      <w:r w:rsidR="009C30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goods</w:t>
      </w:r>
    </w:p>
    <w:p w:rsidR="003430E0" w:rsidRPr="00D0426C" w:rsidRDefault="003430E0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CC754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plaintiff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7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</w:t>
      </w:r>
      <w:r w:rsidR="00CC754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insufficient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title as </w:t>
      </w:r>
      <w:r w:rsidR="00A367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regards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the defendant</w:t>
      </w:r>
    </w:p>
    <w:p w:rsidR="003430E0" w:rsidRPr="00D0426C" w:rsidRDefault="004C537D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Jus </w:t>
      </w:r>
      <w:proofErr w:type="spellStart"/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tertii</w:t>
      </w:r>
      <w:proofErr w:type="spellEnd"/>
    </w:p>
    <w:p w:rsidR="00C121C6" w:rsidRPr="00D0426C" w:rsidRDefault="00C121C6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Remedies for </w:t>
      </w:r>
      <w:proofErr w:type="spellStart"/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Detinue</w:t>
      </w:r>
      <w:proofErr w:type="spellEnd"/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C121C6" w:rsidRPr="00D0426C" w:rsidRDefault="00E13E3E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Claim for </w:t>
      </w:r>
      <w:r w:rsidR="00A367B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replacement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DD006C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926B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chattel</w:t>
      </w:r>
    </w:p>
    <w:p w:rsidR="00E13E3E" w:rsidRPr="00D0426C" w:rsidRDefault="00E13E3E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Claim f</w:t>
      </w:r>
      <w:r w:rsidR="0013781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 r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CC6B9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turn of the chattel</w:t>
      </w:r>
    </w:p>
    <w:p w:rsidR="00CC6B9F" w:rsidRPr="00D0426C" w:rsidRDefault="002C3691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Recapture or</w:t>
      </w:r>
      <w:r w:rsidR="00CC6B9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self</w:t>
      </w:r>
      <w:r w:rsidR="0013781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help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too recover the goods</w:t>
      </w:r>
    </w:p>
    <w:p w:rsidR="002C3691" w:rsidRPr="00D0426C" w:rsidRDefault="00A174A3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5B15A3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am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ages </w:t>
      </w:r>
    </w:p>
    <w:p w:rsidR="00B203C4" w:rsidRPr="00D0426C" w:rsidRDefault="00A174A3" w:rsidP="00783F7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Claim for </w:t>
      </w:r>
      <w:r w:rsidR="002926B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current </w:t>
      </w:r>
      <w:r w:rsidR="002926B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market</w:t>
      </w: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value of the chattel.</w:t>
      </w:r>
    </w:p>
    <w:p w:rsidR="00B203C4" w:rsidRPr="00D0426C" w:rsidRDefault="00B203C4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DIFFERENCES BETWEEN </w:t>
      </w:r>
      <w:r w:rsidR="004F3F0F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CONVERSION AND DETINUE</w:t>
      </w:r>
    </w:p>
    <w:p w:rsidR="00201F45" w:rsidRPr="00D0426C" w:rsidRDefault="003F251E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</w:t>
      </w:r>
      <w:r w:rsidR="006D32E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here </w:t>
      </w:r>
      <w:r w:rsidR="00F54BC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must be a demand </w:t>
      </w:r>
      <w:r w:rsidR="00985D9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the return </w:t>
      </w:r>
      <w:r w:rsidR="00B9596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r w:rsidR="008A507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181E6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chattel in </w:t>
      </w:r>
      <w:proofErr w:type="spellStart"/>
      <w:r w:rsidR="00181E6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detinue</w:t>
      </w:r>
      <w:proofErr w:type="spellEnd"/>
      <w:r w:rsidR="00181E6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516DD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the refusal to submit the chattel </w:t>
      </w:r>
      <w:r w:rsidR="009679B6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the </w:t>
      </w:r>
      <w:r w:rsidR="002D17B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main essence of </w:t>
      </w:r>
      <w:proofErr w:type="spellStart"/>
      <w:r w:rsidR="002D17B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detinue</w:t>
      </w:r>
      <w:proofErr w:type="spellEnd"/>
      <w:r w:rsidR="002D17B0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but in conversion, the defendants </w:t>
      </w:r>
      <w:r w:rsidR="00201F4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acts like the chattel of another is his</w:t>
      </w:r>
      <w:r w:rsidR="006D32E8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004E6" w:rsidRPr="00D0426C" w:rsidRDefault="00C37DE4" w:rsidP="00783F76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All in all</w:t>
      </w:r>
      <w:r w:rsidR="00B718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9596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trespass</w:t>
      </w:r>
      <w:r w:rsidR="00B718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chattel, conversion </w:t>
      </w:r>
      <w:r w:rsidR="00B959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r w:rsidR="00B718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718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detinue</w:t>
      </w:r>
      <w:proofErr w:type="spellEnd"/>
      <w:r w:rsidR="00B718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r w:rsidR="00B9596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under</w:t>
      </w:r>
      <w:r w:rsidR="00B718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9596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B71809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tort of trespass of chattel</w:t>
      </w:r>
      <w:r w:rsidR="00C83D7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 tort of </w:t>
      </w:r>
      <w:r w:rsidR="00B9596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trespass</w:t>
      </w:r>
      <w:r w:rsidR="00C83D71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chattel is a protective </w:t>
      </w:r>
      <w:r w:rsidR="00D810F4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law rather </w:t>
      </w:r>
      <w:r w:rsidR="00C05A77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than preventive</w:t>
      </w:r>
      <w:r w:rsidR="00291225" w:rsidRPr="00D042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E004E6" w:rsidRPr="00D0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1E12" w:rsidRDefault="00911E12" w:rsidP="00AD7796">
      <w:pPr>
        <w:spacing w:after="0" w:line="240" w:lineRule="auto"/>
      </w:pPr>
      <w:r>
        <w:separator/>
      </w:r>
    </w:p>
  </w:endnote>
  <w:endnote w:type="continuationSeparator" w:id="0">
    <w:p w:rsidR="00911E12" w:rsidRDefault="00911E12" w:rsidP="00AD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0C2" w:rsidRDefault="00B80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0C2" w:rsidRDefault="00B80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0C2" w:rsidRDefault="00B80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1E12" w:rsidRDefault="00911E12" w:rsidP="00AD7796">
      <w:pPr>
        <w:spacing w:after="0" w:line="240" w:lineRule="auto"/>
      </w:pPr>
      <w:r>
        <w:separator/>
      </w:r>
    </w:p>
  </w:footnote>
  <w:footnote w:type="continuationSeparator" w:id="0">
    <w:p w:rsidR="00911E12" w:rsidRDefault="00911E12" w:rsidP="00AD7796">
      <w:pPr>
        <w:spacing w:after="0" w:line="240" w:lineRule="auto"/>
      </w:pPr>
      <w:r>
        <w:continuationSeparator/>
      </w:r>
    </w:p>
  </w:footnote>
  <w:footnote w:id="1">
    <w:p w:rsidR="00166773" w:rsidRDefault="001667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Mal</w:t>
      </w:r>
      <w:r w:rsidR="008869C0">
        <w:t>emi</w:t>
      </w:r>
      <w:proofErr w:type="spellEnd"/>
      <w:r w:rsidR="008869C0">
        <w:t xml:space="preserve">. Law of Torts. </w:t>
      </w:r>
    </w:p>
  </w:footnote>
  <w:footnote w:id="2">
    <w:p w:rsidR="00D81F0E" w:rsidRDefault="00D81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 w:rsidR="00E92DDE">
        <w:t>M</w:t>
      </w:r>
      <w:r>
        <w:t>alemi</w:t>
      </w:r>
      <w:proofErr w:type="spellEnd"/>
      <w:r>
        <w:t xml:space="preserve"> </w:t>
      </w:r>
      <w:r w:rsidR="00E92DDE">
        <w:t>L</w:t>
      </w:r>
      <w:r>
        <w:t>aw of Torts</w:t>
      </w:r>
    </w:p>
  </w:footnote>
  <w:footnote w:id="3">
    <w:p w:rsidR="00B60576" w:rsidRDefault="00B60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37BC3">
        <w:t xml:space="preserve">Definitions from Oxford Languages </w:t>
      </w:r>
    </w:p>
  </w:footnote>
  <w:footnote w:id="4">
    <w:p w:rsidR="006508FB" w:rsidRDefault="006508FB">
      <w:pPr>
        <w:pStyle w:val="FootnoteText"/>
      </w:pPr>
      <w:r>
        <w:rPr>
          <w:rStyle w:val="FootnoteReference"/>
        </w:rPr>
        <w:footnoteRef/>
      </w:r>
      <w:r>
        <w:t xml:space="preserve"> SIR JOHN SALMOND</w:t>
      </w:r>
      <w:r w:rsidR="006B7DD6">
        <w:t>`</w:t>
      </w:r>
      <w:r w:rsidR="009910CD">
        <w:t>s</w:t>
      </w:r>
      <w:r w:rsidR="00141159">
        <w:t xml:space="preserve"> Law of Torts</w:t>
      </w:r>
    </w:p>
  </w:footnote>
  <w:footnote w:id="5">
    <w:p w:rsidR="00AA52EC" w:rsidRDefault="00AA52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177C" w:rsidRPr="0025177C">
        <w:t>http://www.dmlp.org/legal-guide/elements-conversion</w:t>
      </w:r>
    </w:p>
  </w:footnote>
  <w:footnote w:id="6">
    <w:p w:rsidR="009910CD" w:rsidRDefault="009910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Malemi</w:t>
      </w:r>
      <w:proofErr w:type="spellEnd"/>
      <w:r>
        <w:t>. Law of Torts.</w:t>
      </w:r>
    </w:p>
  </w:footnote>
  <w:footnote w:id="7">
    <w:p w:rsidR="00B800C2" w:rsidRDefault="00B800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3386" w:rsidRPr="00743386">
        <w:t>https://www.merriam-webster.com/dictionary/detinue</w:t>
      </w:r>
    </w:p>
  </w:footnote>
  <w:footnote w:id="8">
    <w:p w:rsidR="00F056AB" w:rsidRDefault="00F056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5BA4" w:rsidRPr="00B25BA4">
        <w:t>https://gibbswrightlawyers.com.au/publications/detinue</w:t>
      </w:r>
    </w:p>
  </w:footnote>
  <w:footnote w:id="9">
    <w:p w:rsidR="00022942" w:rsidRDefault="000229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0320D" w:rsidRPr="00E0320D">
        <w:t>https:/</w:t>
      </w:r>
      <w:r w:rsidR="004926D0">
        <w:t>/</w:t>
      </w:r>
      <w:r w:rsidR="00E0320D" w:rsidRPr="00E0320D">
        <w:t>Lost,_mislaid,_and_abandoned_property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0C2" w:rsidRDefault="00B80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0C2" w:rsidRDefault="00B80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0C2" w:rsidRDefault="00B80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6D2"/>
    <w:multiLevelType w:val="hybridMultilevel"/>
    <w:tmpl w:val="09EE2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23E"/>
    <w:multiLevelType w:val="hybridMultilevel"/>
    <w:tmpl w:val="F9889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11C"/>
    <w:multiLevelType w:val="multilevel"/>
    <w:tmpl w:val="6E7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24293"/>
    <w:multiLevelType w:val="hybridMultilevel"/>
    <w:tmpl w:val="7A744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6807"/>
    <w:multiLevelType w:val="hybridMultilevel"/>
    <w:tmpl w:val="4C6C5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31DC"/>
    <w:multiLevelType w:val="hybridMultilevel"/>
    <w:tmpl w:val="0EB821D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75EA"/>
    <w:multiLevelType w:val="hybridMultilevel"/>
    <w:tmpl w:val="BD7CE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EE9"/>
    <w:multiLevelType w:val="hybridMultilevel"/>
    <w:tmpl w:val="1BE2F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B3D0B"/>
    <w:multiLevelType w:val="hybridMultilevel"/>
    <w:tmpl w:val="171CE4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5"/>
    <w:rsid w:val="00012ABC"/>
    <w:rsid w:val="00022942"/>
    <w:rsid w:val="00036AF2"/>
    <w:rsid w:val="00040A5A"/>
    <w:rsid w:val="000620F4"/>
    <w:rsid w:val="00062DB5"/>
    <w:rsid w:val="00073088"/>
    <w:rsid w:val="00075AFC"/>
    <w:rsid w:val="00082CE6"/>
    <w:rsid w:val="000832E7"/>
    <w:rsid w:val="000902B6"/>
    <w:rsid w:val="000B3230"/>
    <w:rsid w:val="000C23B8"/>
    <w:rsid w:val="000D1DD3"/>
    <w:rsid w:val="000D7181"/>
    <w:rsid w:val="000E5E2A"/>
    <w:rsid w:val="00102C44"/>
    <w:rsid w:val="00113EF9"/>
    <w:rsid w:val="00136068"/>
    <w:rsid w:val="00136DC3"/>
    <w:rsid w:val="00137818"/>
    <w:rsid w:val="00141159"/>
    <w:rsid w:val="00166773"/>
    <w:rsid w:val="00173BE5"/>
    <w:rsid w:val="00181E61"/>
    <w:rsid w:val="00182A26"/>
    <w:rsid w:val="00187AD4"/>
    <w:rsid w:val="00192F02"/>
    <w:rsid w:val="001933BD"/>
    <w:rsid w:val="001965F3"/>
    <w:rsid w:val="001A55D4"/>
    <w:rsid w:val="001C54CB"/>
    <w:rsid w:val="001E0739"/>
    <w:rsid w:val="00201F45"/>
    <w:rsid w:val="0021586F"/>
    <w:rsid w:val="00215904"/>
    <w:rsid w:val="00222463"/>
    <w:rsid w:val="002224B5"/>
    <w:rsid w:val="00223922"/>
    <w:rsid w:val="002239FF"/>
    <w:rsid w:val="002244E5"/>
    <w:rsid w:val="00225EE6"/>
    <w:rsid w:val="00234A2A"/>
    <w:rsid w:val="002460C8"/>
    <w:rsid w:val="00246607"/>
    <w:rsid w:val="0025177C"/>
    <w:rsid w:val="002556AA"/>
    <w:rsid w:val="0025727C"/>
    <w:rsid w:val="0027234D"/>
    <w:rsid w:val="002824A3"/>
    <w:rsid w:val="00291225"/>
    <w:rsid w:val="002926B4"/>
    <w:rsid w:val="002947CD"/>
    <w:rsid w:val="00294B1D"/>
    <w:rsid w:val="002A1A95"/>
    <w:rsid w:val="002A22F7"/>
    <w:rsid w:val="002B41C5"/>
    <w:rsid w:val="002C3691"/>
    <w:rsid w:val="002D17B0"/>
    <w:rsid w:val="002F40B8"/>
    <w:rsid w:val="002F5D82"/>
    <w:rsid w:val="002F6123"/>
    <w:rsid w:val="00307F41"/>
    <w:rsid w:val="00312F22"/>
    <w:rsid w:val="003177CD"/>
    <w:rsid w:val="00326789"/>
    <w:rsid w:val="0033494A"/>
    <w:rsid w:val="00337BC3"/>
    <w:rsid w:val="003430E0"/>
    <w:rsid w:val="003516EA"/>
    <w:rsid w:val="0035548E"/>
    <w:rsid w:val="00374817"/>
    <w:rsid w:val="00374E98"/>
    <w:rsid w:val="00374EBA"/>
    <w:rsid w:val="00374FD7"/>
    <w:rsid w:val="00375E0D"/>
    <w:rsid w:val="0037617D"/>
    <w:rsid w:val="00382455"/>
    <w:rsid w:val="00383C57"/>
    <w:rsid w:val="0038727E"/>
    <w:rsid w:val="00393C78"/>
    <w:rsid w:val="003B33F9"/>
    <w:rsid w:val="003C06E3"/>
    <w:rsid w:val="003E6B47"/>
    <w:rsid w:val="003F251E"/>
    <w:rsid w:val="003F2E37"/>
    <w:rsid w:val="003F65B9"/>
    <w:rsid w:val="00413C32"/>
    <w:rsid w:val="00426777"/>
    <w:rsid w:val="004277D9"/>
    <w:rsid w:val="00433A33"/>
    <w:rsid w:val="004513E4"/>
    <w:rsid w:val="0046007C"/>
    <w:rsid w:val="00461BDB"/>
    <w:rsid w:val="0047406F"/>
    <w:rsid w:val="00483CD0"/>
    <w:rsid w:val="00483E6F"/>
    <w:rsid w:val="004917CF"/>
    <w:rsid w:val="004926D0"/>
    <w:rsid w:val="004929BF"/>
    <w:rsid w:val="004A0639"/>
    <w:rsid w:val="004A4AE1"/>
    <w:rsid w:val="004A6040"/>
    <w:rsid w:val="004A760F"/>
    <w:rsid w:val="004B2EE9"/>
    <w:rsid w:val="004C537D"/>
    <w:rsid w:val="004C6193"/>
    <w:rsid w:val="004D1F2A"/>
    <w:rsid w:val="004D4B42"/>
    <w:rsid w:val="004F3F0F"/>
    <w:rsid w:val="00501A0C"/>
    <w:rsid w:val="00503C8A"/>
    <w:rsid w:val="005208B2"/>
    <w:rsid w:val="00525CE8"/>
    <w:rsid w:val="00530949"/>
    <w:rsid w:val="005448C9"/>
    <w:rsid w:val="0054701F"/>
    <w:rsid w:val="0055669A"/>
    <w:rsid w:val="005606D8"/>
    <w:rsid w:val="00570D59"/>
    <w:rsid w:val="005870C5"/>
    <w:rsid w:val="005910BF"/>
    <w:rsid w:val="005B15A3"/>
    <w:rsid w:val="005C2394"/>
    <w:rsid w:val="005C3745"/>
    <w:rsid w:val="005C52AA"/>
    <w:rsid w:val="005D4D5D"/>
    <w:rsid w:val="005E299D"/>
    <w:rsid w:val="006007EB"/>
    <w:rsid w:val="00612514"/>
    <w:rsid w:val="00636890"/>
    <w:rsid w:val="0064789E"/>
    <w:rsid w:val="0065034A"/>
    <w:rsid w:val="006508FB"/>
    <w:rsid w:val="00654A33"/>
    <w:rsid w:val="006602CD"/>
    <w:rsid w:val="0067791A"/>
    <w:rsid w:val="0068628B"/>
    <w:rsid w:val="00686833"/>
    <w:rsid w:val="00690241"/>
    <w:rsid w:val="006B30DF"/>
    <w:rsid w:val="006B7DD6"/>
    <w:rsid w:val="006D32E8"/>
    <w:rsid w:val="006E1722"/>
    <w:rsid w:val="006F5C3F"/>
    <w:rsid w:val="006F5DFA"/>
    <w:rsid w:val="007022F6"/>
    <w:rsid w:val="007315AA"/>
    <w:rsid w:val="00731EDE"/>
    <w:rsid w:val="00743386"/>
    <w:rsid w:val="007536AE"/>
    <w:rsid w:val="007610B2"/>
    <w:rsid w:val="007633B3"/>
    <w:rsid w:val="00783F76"/>
    <w:rsid w:val="007968C7"/>
    <w:rsid w:val="007A5231"/>
    <w:rsid w:val="007A7D1B"/>
    <w:rsid w:val="007B5FA5"/>
    <w:rsid w:val="007C1BF7"/>
    <w:rsid w:val="007D12D8"/>
    <w:rsid w:val="007E4DD1"/>
    <w:rsid w:val="007F31D5"/>
    <w:rsid w:val="008041C4"/>
    <w:rsid w:val="00844B2B"/>
    <w:rsid w:val="00844B5B"/>
    <w:rsid w:val="0085108F"/>
    <w:rsid w:val="00855651"/>
    <w:rsid w:val="00863329"/>
    <w:rsid w:val="00864B8B"/>
    <w:rsid w:val="008837BB"/>
    <w:rsid w:val="008869C0"/>
    <w:rsid w:val="0089297F"/>
    <w:rsid w:val="008A3DC4"/>
    <w:rsid w:val="008A5074"/>
    <w:rsid w:val="008A6019"/>
    <w:rsid w:val="008B1824"/>
    <w:rsid w:val="008B2B09"/>
    <w:rsid w:val="008C2FD5"/>
    <w:rsid w:val="008C337E"/>
    <w:rsid w:val="008E051C"/>
    <w:rsid w:val="008E2F57"/>
    <w:rsid w:val="008E6E07"/>
    <w:rsid w:val="0090241A"/>
    <w:rsid w:val="00902DA4"/>
    <w:rsid w:val="00906E9F"/>
    <w:rsid w:val="00911E12"/>
    <w:rsid w:val="00940220"/>
    <w:rsid w:val="009473D5"/>
    <w:rsid w:val="00947A22"/>
    <w:rsid w:val="00961574"/>
    <w:rsid w:val="009679B6"/>
    <w:rsid w:val="00973647"/>
    <w:rsid w:val="00981A25"/>
    <w:rsid w:val="00985D94"/>
    <w:rsid w:val="00990EED"/>
    <w:rsid w:val="009910CD"/>
    <w:rsid w:val="009952DC"/>
    <w:rsid w:val="009B1335"/>
    <w:rsid w:val="009B3419"/>
    <w:rsid w:val="009C307F"/>
    <w:rsid w:val="009D052D"/>
    <w:rsid w:val="009D394F"/>
    <w:rsid w:val="009E62B6"/>
    <w:rsid w:val="009F488F"/>
    <w:rsid w:val="00A11B9C"/>
    <w:rsid w:val="00A174A3"/>
    <w:rsid w:val="00A204B0"/>
    <w:rsid w:val="00A33A56"/>
    <w:rsid w:val="00A367B0"/>
    <w:rsid w:val="00A36C6F"/>
    <w:rsid w:val="00A46470"/>
    <w:rsid w:val="00A605AE"/>
    <w:rsid w:val="00A61E4F"/>
    <w:rsid w:val="00A64FA0"/>
    <w:rsid w:val="00A658DC"/>
    <w:rsid w:val="00A71675"/>
    <w:rsid w:val="00A8722D"/>
    <w:rsid w:val="00AA2726"/>
    <w:rsid w:val="00AA4E9F"/>
    <w:rsid w:val="00AA52EC"/>
    <w:rsid w:val="00AC5C7E"/>
    <w:rsid w:val="00AD7796"/>
    <w:rsid w:val="00AF34DC"/>
    <w:rsid w:val="00B01768"/>
    <w:rsid w:val="00B0243E"/>
    <w:rsid w:val="00B06340"/>
    <w:rsid w:val="00B102CC"/>
    <w:rsid w:val="00B1327B"/>
    <w:rsid w:val="00B203C4"/>
    <w:rsid w:val="00B23CFA"/>
    <w:rsid w:val="00B25BA4"/>
    <w:rsid w:val="00B55E6E"/>
    <w:rsid w:val="00B5612C"/>
    <w:rsid w:val="00B60576"/>
    <w:rsid w:val="00B653E1"/>
    <w:rsid w:val="00B6591D"/>
    <w:rsid w:val="00B71809"/>
    <w:rsid w:val="00B800C2"/>
    <w:rsid w:val="00B84BFA"/>
    <w:rsid w:val="00B87A10"/>
    <w:rsid w:val="00B93EF5"/>
    <w:rsid w:val="00B95964"/>
    <w:rsid w:val="00BA6C6B"/>
    <w:rsid w:val="00BB3966"/>
    <w:rsid w:val="00BC0252"/>
    <w:rsid w:val="00BC219D"/>
    <w:rsid w:val="00BD5ED7"/>
    <w:rsid w:val="00BF7E42"/>
    <w:rsid w:val="00C033FF"/>
    <w:rsid w:val="00C05A77"/>
    <w:rsid w:val="00C121C6"/>
    <w:rsid w:val="00C30AB2"/>
    <w:rsid w:val="00C34FDF"/>
    <w:rsid w:val="00C37DE4"/>
    <w:rsid w:val="00C452E6"/>
    <w:rsid w:val="00C50D85"/>
    <w:rsid w:val="00C54573"/>
    <w:rsid w:val="00C565D0"/>
    <w:rsid w:val="00C57492"/>
    <w:rsid w:val="00C72B14"/>
    <w:rsid w:val="00C80321"/>
    <w:rsid w:val="00C80907"/>
    <w:rsid w:val="00C83D71"/>
    <w:rsid w:val="00C874AA"/>
    <w:rsid w:val="00C87F89"/>
    <w:rsid w:val="00CC3712"/>
    <w:rsid w:val="00CC42FE"/>
    <w:rsid w:val="00CC6B9F"/>
    <w:rsid w:val="00CC7549"/>
    <w:rsid w:val="00CD20DD"/>
    <w:rsid w:val="00CD7B3A"/>
    <w:rsid w:val="00CF007D"/>
    <w:rsid w:val="00CF16B8"/>
    <w:rsid w:val="00D0426C"/>
    <w:rsid w:val="00D077B7"/>
    <w:rsid w:val="00D37973"/>
    <w:rsid w:val="00D4147E"/>
    <w:rsid w:val="00D43316"/>
    <w:rsid w:val="00D45692"/>
    <w:rsid w:val="00D466A1"/>
    <w:rsid w:val="00D64073"/>
    <w:rsid w:val="00D74028"/>
    <w:rsid w:val="00D74E13"/>
    <w:rsid w:val="00D76E62"/>
    <w:rsid w:val="00D810F4"/>
    <w:rsid w:val="00D81F0E"/>
    <w:rsid w:val="00D831FF"/>
    <w:rsid w:val="00D842B7"/>
    <w:rsid w:val="00D92A77"/>
    <w:rsid w:val="00DA5B8C"/>
    <w:rsid w:val="00DB10F3"/>
    <w:rsid w:val="00DD006C"/>
    <w:rsid w:val="00DD3299"/>
    <w:rsid w:val="00DE38E7"/>
    <w:rsid w:val="00DF2E47"/>
    <w:rsid w:val="00DF6275"/>
    <w:rsid w:val="00E004E6"/>
    <w:rsid w:val="00E018F3"/>
    <w:rsid w:val="00E02ADA"/>
    <w:rsid w:val="00E031D9"/>
    <w:rsid w:val="00E0320D"/>
    <w:rsid w:val="00E13E3E"/>
    <w:rsid w:val="00E15FE9"/>
    <w:rsid w:val="00E24AAE"/>
    <w:rsid w:val="00E27F75"/>
    <w:rsid w:val="00E3098C"/>
    <w:rsid w:val="00E32EB7"/>
    <w:rsid w:val="00E46409"/>
    <w:rsid w:val="00E516DD"/>
    <w:rsid w:val="00E54171"/>
    <w:rsid w:val="00E5655E"/>
    <w:rsid w:val="00E576CC"/>
    <w:rsid w:val="00E66E34"/>
    <w:rsid w:val="00E83941"/>
    <w:rsid w:val="00E84E48"/>
    <w:rsid w:val="00E903A1"/>
    <w:rsid w:val="00E92DDE"/>
    <w:rsid w:val="00EA012B"/>
    <w:rsid w:val="00EA4CE9"/>
    <w:rsid w:val="00EC3390"/>
    <w:rsid w:val="00ED04B9"/>
    <w:rsid w:val="00EE2C72"/>
    <w:rsid w:val="00F056AB"/>
    <w:rsid w:val="00F06719"/>
    <w:rsid w:val="00F2262A"/>
    <w:rsid w:val="00F42085"/>
    <w:rsid w:val="00F44A36"/>
    <w:rsid w:val="00F5268E"/>
    <w:rsid w:val="00F54BC5"/>
    <w:rsid w:val="00F6397E"/>
    <w:rsid w:val="00F72672"/>
    <w:rsid w:val="00F85BBE"/>
    <w:rsid w:val="00F91187"/>
    <w:rsid w:val="00FB3E61"/>
    <w:rsid w:val="00FD052B"/>
    <w:rsid w:val="00FE004B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76A1D"/>
  <w15:chartTrackingRefBased/>
  <w15:docId w15:val="{2F9CC892-F1E0-5D4A-AAAE-401A5A1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96"/>
  </w:style>
  <w:style w:type="paragraph" w:styleId="Footer">
    <w:name w:val="footer"/>
    <w:basedOn w:val="Normal"/>
    <w:link w:val="FooterChar"/>
    <w:uiPriority w:val="99"/>
    <w:unhideWhenUsed/>
    <w:rsid w:val="00AD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96"/>
  </w:style>
  <w:style w:type="paragraph" w:styleId="FootnoteText">
    <w:name w:val="footnote text"/>
    <w:basedOn w:val="Normal"/>
    <w:link w:val="FootnoteTextChar"/>
    <w:uiPriority w:val="99"/>
    <w:semiHidden/>
    <w:unhideWhenUsed/>
    <w:rsid w:val="005309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9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9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rebeccadike0@gmail.com</cp:lastModifiedBy>
  <cp:revision>333</cp:revision>
  <dcterms:created xsi:type="dcterms:W3CDTF">2021-01-26T21:37:00Z</dcterms:created>
  <dcterms:modified xsi:type="dcterms:W3CDTF">2021-01-27T14:40:00Z</dcterms:modified>
</cp:coreProperties>
</file>