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7EA5" w:rsidRDefault="00E87FB7">
      <w:pPr>
        <w:spacing w:line="480" w:lineRule="auto"/>
        <w:rPr>
          <w:rFonts w:ascii="Times New Roman" w:hAnsi="Times New Roman" w:cs="Times New Roman"/>
          <w:sz w:val="36"/>
          <w:szCs w:val="36"/>
        </w:rPr>
      </w:pPr>
      <w:r>
        <w:rPr>
          <w:rFonts w:ascii="Times New Roman" w:hAnsi="Times New Roman" w:cs="Times New Roman"/>
          <w:sz w:val="36"/>
          <w:szCs w:val="36"/>
        </w:rPr>
        <w:t xml:space="preserve">NAME: AJISOLA OLUWASEYI </w:t>
      </w:r>
    </w:p>
    <w:p w:rsidR="00D27EA5" w:rsidRDefault="00E87FB7">
      <w:pPr>
        <w:spacing w:line="480" w:lineRule="auto"/>
        <w:rPr>
          <w:rFonts w:ascii="Times New Roman" w:hAnsi="Times New Roman" w:cs="Times New Roman"/>
          <w:sz w:val="36"/>
          <w:szCs w:val="36"/>
        </w:rPr>
      </w:pPr>
      <w:r>
        <w:rPr>
          <w:rFonts w:ascii="Times New Roman" w:hAnsi="Times New Roman" w:cs="Times New Roman"/>
          <w:sz w:val="36"/>
          <w:szCs w:val="36"/>
        </w:rPr>
        <w:t>MATRIC NO: 18/LAW01/028</w:t>
      </w:r>
    </w:p>
    <w:p w:rsidR="00D27EA5" w:rsidRDefault="00E87FB7">
      <w:pPr>
        <w:spacing w:line="480" w:lineRule="auto"/>
        <w:rPr>
          <w:rFonts w:ascii="Times New Roman" w:hAnsi="Times New Roman" w:cs="Times New Roman"/>
          <w:sz w:val="36"/>
          <w:szCs w:val="36"/>
        </w:rPr>
      </w:pPr>
      <w:r>
        <w:rPr>
          <w:rFonts w:ascii="Times New Roman" w:hAnsi="Times New Roman" w:cs="Times New Roman"/>
          <w:sz w:val="36"/>
          <w:szCs w:val="36"/>
        </w:rPr>
        <w:t>COURSE CODE; LPB 301</w:t>
      </w:r>
    </w:p>
    <w:p w:rsidR="00D27EA5" w:rsidRDefault="00E87FB7">
      <w:pPr>
        <w:spacing w:line="480" w:lineRule="auto"/>
        <w:rPr>
          <w:rFonts w:ascii="Times New Roman" w:hAnsi="Times New Roman" w:cs="Times New Roman"/>
          <w:sz w:val="36"/>
          <w:szCs w:val="36"/>
        </w:rPr>
      </w:pPr>
      <w:r>
        <w:rPr>
          <w:rFonts w:ascii="Times New Roman" w:hAnsi="Times New Roman" w:cs="Times New Roman"/>
          <w:sz w:val="36"/>
          <w:szCs w:val="36"/>
        </w:rPr>
        <w:t>COURSE TITLE: LAW OF TORT 1</w:t>
      </w:r>
    </w:p>
    <w:p w:rsidR="00D27EA5" w:rsidRDefault="00E87FB7">
      <w:pPr>
        <w:spacing w:line="480" w:lineRule="auto"/>
        <w:rPr>
          <w:rFonts w:ascii="Times New Roman" w:hAnsi="Times New Roman" w:cs="Times New Roman"/>
          <w:sz w:val="36"/>
          <w:szCs w:val="36"/>
        </w:rPr>
      </w:pPr>
      <w:r>
        <w:rPr>
          <w:rFonts w:ascii="Times New Roman" w:hAnsi="Times New Roman" w:cs="Times New Roman"/>
          <w:sz w:val="36"/>
          <w:szCs w:val="36"/>
        </w:rPr>
        <w:t>DATE; 24</w:t>
      </w:r>
      <w:r>
        <w:rPr>
          <w:rFonts w:ascii="Times New Roman" w:hAnsi="Times New Roman" w:cs="Times New Roman"/>
          <w:sz w:val="36"/>
          <w:szCs w:val="36"/>
          <w:vertAlign w:val="superscript"/>
        </w:rPr>
        <w:t>TH</w:t>
      </w:r>
      <w:r>
        <w:rPr>
          <w:rFonts w:ascii="Times New Roman" w:hAnsi="Times New Roman" w:cs="Times New Roman"/>
          <w:sz w:val="36"/>
          <w:szCs w:val="36"/>
        </w:rPr>
        <w:t xml:space="preserve"> OF JANUARY, 2021</w:t>
      </w:r>
    </w:p>
    <w:p w:rsidR="00D27EA5" w:rsidRDefault="00E87FB7">
      <w:pPr>
        <w:spacing w:line="480" w:lineRule="auto"/>
        <w:rPr>
          <w:rFonts w:ascii="Times New Roman" w:hAnsi="Times New Roman" w:cs="Times New Roman"/>
          <w:sz w:val="36"/>
          <w:szCs w:val="36"/>
        </w:rPr>
      </w:pPr>
      <w:r>
        <w:rPr>
          <w:rFonts w:ascii="Times New Roman" w:hAnsi="Times New Roman" w:cs="Times New Roman"/>
          <w:sz w:val="36"/>
          <w:szCs w:val="36"/>
        </w:rPr>
        <w:t xml:space="preserve">Assignment: </w:t>
      </w:r>
      <w:r>
        <w:rPr>
          <w:rFonts w:ascii="Times New Roman" w:hAnsi="Times New Roman" w:cs="Times New Roman"/>
          <w:sz w:val="36"/>
          <w:szCs w:val="36"/>
        </w:rPr>
        <w:t xml:space="preserve">The tort of trespass to chattel in is made of: Trespass to chattel conversion and </w:t>
      </w:r>
      <w:proofErr w:type="spellStart"/>
      <w:r>
        <w:rPr>
          <w:rFonts w:ascii="Times New Roman" w:hAnsi="Times New Roman" w:cs="Times New Roman"/>
          <w:sz w:val="36"/>
          <w:szCs w:val="36"/>
        </w:rPr>
        <w:t>Detinue</w:t>
      </w:r>
      <w:proofErr w:type="spellEnd"/>
      <w:r>
        <w:rPr>
          <w:rFonts w:ascii="Times New Roman" w:hAnsi="Times New Roman" w:cs="Times New Roman"/>
          <w:sz w:val="36"/>
          <w:szCs w:val="36"/>
        </w:rPr>
        <w:t xml:space="preserve"> discuss the above </w:t>
      </w:r>
      <w:r>
        <w:rPr>
          <w:rFonts w:ascii="Times New Roman" w:hAnsi="Times New Roman" w:cs="Times New Roman"/>
          <w:sz w:val="36"/>
          <w:szCs w:val="36"/>
        </w:rPr>
        <w:t>support with case law.</w:t>
      </w:r>
    </w:p>
    <w:p w:rsidR="00D27EA5" w:rsidRDefault="00D27EA5">
      <w:pPr>
        <w:spacing w:line="480" w:lineRule="auto"/>
        <w:rPr>
          <w:rFonts w:ascii="Times New Roman" w:hAnsi="Times New Roman" w:cs="Times New Roman"/>
          <w:sz w:val="36"/>
          <w:szCs w:val="36"/>
        </w:rPr>
      </w:pPr>
    </w:p>
    <w:p w:rsidR="00D27EA5" w:rsidRDefault="00D27EA5">
      <w:pPr>
        <w:spacing w:line="360" w:lineRule="auto"/>
        <w:rPr>
          <w:rFonts w:ascii="Times New Roman" w:hAnsi="Times New Roman" w:cs="Times New Roman"/>
          <w:sz w:val="24"/>
          <w:szCs w:val="24"/>
        </w:rPr>
      </w:pPr>
    </w:p>
    <w:p w:rsidR="00D27EA5" w:rsidRDefault="00D27EA5">
      <w:pPr>
        <w:spacing w:line="360" w:lineRule="auto"/>
        <w:rPr>
          <w:rFonts w:ascii="Times New Roman" w:hAnsi="Times New Roman" w:cs="Times New Roman"/>
          <w:sz w:val="24"/>
          <w:szCs w:val="24"/>
        </w:rPr>
      </w:pPr>
    </w:p>
    <w:p w:rsidR="00D27EA5" w:rsidRDefault="00D27EA5">
      <w:pPr>
        <w:spacing w:line="360" w:lineRule="auto"/>
        <w:rPr>
          <w:rFonts w:ascii="Times New Roman" w:hAnsi="Times New Roman" w:cs="Times New Roman"/>
          <w:sz w:val="24"/>
          <w:szCs w:val="24"/>
        </w:rPr>
      </w:pPr>
    </w:p>
    <w:p w:rsidR="00D27EA5" w:rsidRDefault="00D27EA5">
      <w:pPr>
        <w:spacing w:line="360" w:lineRule="auto"/>
        <w:rPr>
          <w:rFonts w:ascii="Times New Roman" w:hAnsi="Times New Roman" w:cs="Times New Roman"/>
          <w:sz w:val="24"/>
          <w:szCs w:val="24"/>
        </w:rPr>
      </w:pPr>
    </w:p>
    <w:p w:rsidR="00D27EA5" w:rsidRDefault="00D27EA5">
      <w:pPr>
        <w:spacing w:line="360" w:lineRule="auto"/>
        <w:rPr>
          <w:rFonts w:ascii="Times New Roman" w:hAnsi="Times New Roman" w:cs="Times New Roman"/>
          <w:sz w:val="24"/>
          <w:szCs w:val="24"/>
        </w:rPr>
      </w:pPr>
    </w:p>
    <w:p w:rsidR="00D27EA5" w:rsidRDefault="00D27EA5">
      <w:pPr>
        <w:spacing w:line="360" w:lineRule="auto"/>
        <w:rPr>
          <w:rFonts w:ascii="Times New Roman" w:hAnsi="Times New Roman" w:cs="Times New Roman"/>
          <w:sz w:val="24"/>
          <w:szCs w:val="24"/>
        </w:rPr>
      </w:pPr>
    </w:p>
    <w:p w:rsidR="00D27EA5" w:rsidRDefault="00D27EA5">
      <w:pPr>
        <w:spacing w:line="360" w:lineRule="auto"/>
        <w:rPr>
          <w:rFonts w:ascii="Times New Roman" w:hAnsi="Times New Roman" w:cs="Times New Roman"/>
          <w:sz w:val="24"/>
          <w:szCs w:val="24"/>
        </w:rPr>
      </w:pPr>
    </w:p>
    <w:p w:rsidR="00D27EA5" w:rsidRDefault="00D27EA5">
      <w:pPr>
        <w:spacing w:line="360" w:lineRule="auto"/>
        <w:rPr>
          <w:rFonts w:ascii="Times New Roman" w:hAnsi="Times New Roman" w:cs="Times New Roman"/>
          <w:sz w:val="24"/>
          <w:szCs w:val="24"/>
        </w:rPr>
      </w:pPr>
    </w:p>
    <w:p w:rsidR="00D27EA5" w:rsidRDefault="00D27EA5">
      <w:pPr>
        <w:spacing w:line="360" w:lineRule="auto"/>
        <w:rPr>
          <w:rFonts w:ascii="Times New Roman" w:hAnsi="Times New Roman" w:cs="Times New Roman"/>
          <w:sz w:val="24"/>
          <w:szCs w:val="24"/>
        </w:rPr>
      </w:pPr>
    </w:p>
    <w:p w:rsidR="00D27EA5" w:rsidRDefault="00D27EA5">
      <w:pPr>
        <w:spacing w:line="360" w:lineRule="auto"/>
        <w:rPr>
          <w:rFonts w:ascii="Times New Roman" w:hAnsi="Times New Roman" w:cs="Times New Roman"/>
          <w:sz w:val="24"/>
          <w:szCs w:val="24"/>
        </w:rPr>
      </w:pPr>
    </w:p>
    <w:p w:rsidR="00D27EA5" w:rsidRDefault="00D27EA5">
      <w:pPr>
        <w:spacing w:line="360" w:lineRule="auto"/>
        <w:rPr>
          <w:rFonts w:ascii="Times New Roman" w:hAnsi="Times New Roman" w:cs="Times New Roman"/>
          <w:sz w:val="24"/>
          <w:szCs w:val="24"/>
        </w:rPr>
      </w:pPr>
    </w:p>
    <w:p w:rsidR="00D27EA5" w:rsidRDefault="00D27EA5">
      <w:pPr>
        <w:spacing w:line="360" w:lineRule="auto"/>
        <w:rPr>
          <w:rFonts w:ascii="Times New Roman" w:hAnsi="Times New Roman" w:cs="Times New Roman"/>
          <w:sz w:val="24"/>
          <w:szCs w:val="24"/>
        </w:rPr>
      </w:pPr>
    </w:p>
    <w:p w:rsidR="00D27EA5" w:rsidRDefault="00D27EA5">
      <w:pPr>
        <w:spacing w:line="360" w:lineRule="auto"/>
        <w:rPr>
          <w:rFonts w:ascii="Times New Roman" w:hAnsi="Times New Roman" w:cs="Times New Roman"/>
          <w:sz w:val="24"/>
          <w:szCs w:val="24"/>
        </w:rPr>
      </w:pPr>
    </w:p>
    <w:p w:rsidR="00D27EA5" w:rsidRDefault="00D27EA5">
      <w:pPr>
        <w:spacing w:line="360" w:lineRule="auto"/>
        <w:rPr>
          <w:rFonts w:ascii="Times New Roman" w:hAnsi="Times New Roman" w:cs="Times New Roman"/>
          <w:sz w:val="24"/>
          <w:szCs w:val="24"/>
        </w:rPr>
      </w:pPr>
    </w:p>
    <w:p w:rsidR="00D27EA5" w:rsidRDefault="00D27EA5">
      <w:pPr>
        <w:spacing w:line="360" w:lineRule="auto"/>
        <w:rPr>
          <w:rFonts w:ascii="Times New Roman" w:hAnsi="Times New Roman" w:cs="Times New Roman"/>
          <w:sz w:val="24"/>
          <w:szCs w:val="24"/>
        </w:rPr>
      </w:pPr>
    </w:p>
    <w:p w:rsidR="00D27EA5" w:rsidRDefault="00D27EA5">
      <w:pPr>
        <w:spacing w:line="360" w:lineRule="auto"/>
        <w:rPr>
          <w:rFonts w:ascii="Times New Roman" w:hAnsi="Times New Roman" w:cs="Times New Roman"/>
          <w:sz w:val="24"/>
          <w:szCs w:val="24"/>
        </w:rPr>
      </w:pPr>
    </w:p>
    <w:p w:rsidR="00D27EA5" w:rsidRDefault="00D27EA5">
      <w:pPr>
        <w:spacing w:line="360" w:lineRule="auto"/>
        <w:rPr>
          <w:rFonts w:ascii="Times New Roman" w:hAnsi="Times New Roman" w:cs="Times New Roman"/>
          <w:sz w:val="24"/>
          <w:szCs w:val="24"/>
        </w:rPr>
      </w:pPr>
    </w:p>
    <w:p w:rsidR="00D27EA5" w:rsidRDefault="00D27EA5">
      <w:pPr>
        <w:spacing w:line="360" w:lineRule="auto"/>
        <w:rPr>
          <w:rFonts w:ascii="Times New Roman" w:hAnsi="Times New Roman" w:cs="Times New Roman"/>
          <w:sz w:val="24"/>
          <w:szCs w:val="24"/>
        </w:rPr>
      </w:pPr>
    </w:p>
    <w:p w:rsidR="00D27EA5" w:rsidRDefault="00E87FB7">
      <w:pPr>
        <w:spacing w:line="360" w:lineRule="auto"/>
        <w:rPr>
          <w:rFonts w:ascii="Times New Roman" w:hAnsi="Times New Roman" w:cs="Times New Roman"/>
          <w:sz w:val="24"/>
          <w:szCs w:val="24"/>
        </w:rPr>
      </w:pPr>
      <w:r>
        <w:rPr>
          <w:rFonts w:ascii="Times New Roman" w:hAnsi="Times New Roman" w:cs="Times New Roman"/>
          <w:sz w:val="24"/>
          <w:szCs w:val="24"/>
        </w:rPr>
        <w:t>I will be guided by the following content</w:t>
      </w:r>
    </w:p>
    <w:p w:rsidR="00D27EA5" w:rsidRDefault="00E87FB7">
      <w:pPr>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Definition</w:t>
      </w:r>
    </w:p>
    <w:p w:rsidR="00D27EA5" w:rsidRDefault="00E87FB7">
      <w:pPr>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concept of trespass to chattel</w:t>
      </w:r>
    </w:p>
    <w:p w:rsidR="00D27EA5" w:rsidRDefault="00E87FB7">
      <w:pPr>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Concept of conversion</w:t>
      </w:r>
    </w:p>
    <w:p w:rsidR="00D27EA5" w:rsidRDefault="00E87FB7">
      <w:pPr>
        <w:numPr>
          <w:ilvl w:val="0"/>
          <w:numId w:val="1"/>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and what it entails </w:t>
      </w:r>
    </w:p>
    <w:p w:rsidR="00D27EA5" w:rsidRDefault="00E87FB7">
      <w:pPr>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Differences between conversion and </w:t>
      </w:r>
      <w:proofErr w:type="spellStart"/>
      <w:r>
        <w:rPr>
          <w:rFonts w:ascii="Times New Roman" w:hAnsi="Times New Roman" w:cs="Times New Roman"/>
          <w:sz w:val="24"/>
          <w:szCs w:val="24"/>
        </w:rPr>
        <w:t>detinue</w:t>
      </w:r>
      <w:proofErr w:type="spellEnd"/>
    </w:p>
    <w:p w:rsidR="00D27EA5" w:rsidRDefault="00D27EA5">
      <w:pPr>
        <w:spacing w:line="360" w:lineRule="auto"/>
        <w:rPr>
          <w:rFonts w:ascii="Times New Roman" w:hAnsi="Times New Roman" w:cs="Times New Roman"/>
          <w:b/>
          <w:bCs/>
          <w:sz w:val="24"/>
          <w:szCs w:val="24"/>
        </w:rPr>
      </w:pPr>
    </w:p>
    <w:p w:rsidR="00D27EA5" w:rsidRDefault="00D27EA5">
      <w:pPr>
        <w:spacing w:line="360" w:lineRule="auto"/>
        <w:rPr>
          <w:rFonts w:ascii="Times New Roman" w:hAnsi="Times New Roman" w:cs="Times New Roman"/>
          <w:b/>
          <w:bCs/>
          <w:sz w:val="24"/>
          <w:szCs w:val="24"/>
        </w:rPr>
      </w:pPr>
    </w:p>
    <w:p w:rsidR="00D27EA5" w:rsidRDefault="00D27EA5">
      <w:pPr>
        <w:spacing w:line="360" w:lineRule="auto"/>
        <w:rPr>
          <w:rFonts w:ascii="Times New Roman" w:hAnsi="Times New Roman" w:cs="Times New Roman"/>
          <w:b/>
          <w:bCs/>
          <w:sz w:val="24"/>
          <w:szCs w:val="24"/>
        </w:rPr>
      </w:pPr>
    </w:p>
    <w:p w:rsidR="00D27EA5" w:rsidRDefault="00E87FB7">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Definition of </w:t>
      </w:r>
      <w:r>
        <w:rPr>
          <w:rFonts w:ascii="Times New Roman" w:hAnsi="Times New Roman" w:cs="Times New Roman"/>
          <w:b/>
          <w:bCs/>
          <w:sz w:val="24"/>
          <w:szCs w:val="24"/>
        </w:rPr>
        <w:t>trespass to chattel</w:t>
      </w:r>
    </w:p>
    <w:p w:rsidR="00D27EA5" w:rsidRDefault="00E87FB7">
      <w:pPr>
        <w:spacing w:line="360" w:lineRule="auto"/>
        <w:rPr>
          <w:rFonts w:ascii="Times New Roman" w:eastAsia="Georgia" w:hAnsi="Times New Roman" w:cs="Times New Roman"/>
          <w:color w:val="111111"/>
          <w:sz w:val="24"/>
          <w:szCs w:val="24"/>
          <w:shd w:val="clear" w:color="auto" w:fill="FFFFFF"/>
        </w:rPr>
      </w:pPr>
      <w:r>
        <w:rPr>
          <w:rFonts w:ascii="Times New Roman" w:hAnsi="Times New Roman" w:cs="Times New Roman"/>
          <w:sz w:val="24"/>
          <w:szCs w:val="24"/>
        </w:rPr>
        <w:t xml:space="preserve">The need to define the word trespass to chattel is very important, but before that, the word trespass is an intentional interference into something, so therefore, the word trespass to chattel is an intentional interference into another </w:t>
      </w:r>
      <w:r>
        <w:rPr>
          <w:rFonts w:ascii="Times New Roman" w:hAnsi="Times New Roman" w:cs="Times New Roman"/>
          <w:sz w:val="24"/>
          <w:szCs w:val="24"/>
        </w:rPr>
        <w:t>person’s property. Trespass to chattel in law of tort is an intentional interference into somebody’s property. A chattel maybe property, land, cars. A chattel is any movable things aside money. In law of tort trespass to chattel tries to protect what we ca</w:t>
      </w:r>
      <w:r>
        <w:rPr>
          <w:rFonts w:ascii="Times New Roman" w:hAnsi="Times New Roman" w:cs="Times New Roman"/>
          <w:sz w:val="24"/>
          <w:szCs w:val="24"/>
        </w:rPr>
        <w:t xml:space="preserve">lled chattel (property). many scholar have different opinion on this. Trespass to Chattel </w:t>
      </w:r>
      <w:r>
        <w:rPr>
          <w:rFonts w:ascii="Times New Roman" w:eastAsia="Georgia" w:hAnsi="Times New Roman" w:cs="Times New Roman"/>
          <w:color w:val="111111"/>
          <w:sz w:val="24"/>
          <w:szCs w:val="24"/>
          <w:shd w:val="clear" w:color="auto" w:fill="FFFFFF"/>
        </w:rPr>
        <w:t>is a direct and unlawful injury done to the chattel in possession of another person</w:t>
      </w:r>
      <w:r>
        <w:rPr>
          <w:rStyle w:val="FootnoteReference"/>
          <w:rFonts w:ascii="Times New Roman" w:eastAsia="Georgia" w:hAnsi="Times New Roman" w:cs="Times New Roman"/>
          <w:color w:val="111111"/>
          <w:sz w:val="24"/>
          <w:szCs w:val="24"/>
          <w:shd w:val="clear" w:color="auto" w:fill="FFFFFF"/>
        </w:rPr>
        <w:footnoteReference w:customMarkFollows="1" w:id="1"/>
        <w:t>1</w:t>
      </w:r>
      <w:r>
        <w:rPr>
          <w:rFonts w:ascii="Times New Roman" w:eastAsia="Georgia" w:hAnsi="Times New Roman" w:cs="Times New Roman"/>
          <w:color w:val="111111"/>
          <w:sz w:val="24"/>
          <w:szCs w:val="24"/>
          <w:shd w:val="clear" w:color="auto" w:fill="FFFFFF"/>
        </w:rPr>
        <w:t xml:space="preserve">. It is actionable per se; proof of direct and unlawful application of force is </w:t>
      </w:r>
      <w:r>
        <w:rPr>
          <w:rFonts w:ascii="Times New Roman" w:eastAsia="Georgia" w:hAnsi="Times New Roman" w:cs="Times New Roman"/>
          <w:color w:val="111111"/>
          <w:sz w:val="24"/>
          <w:szCs w:val="24"/>
          <w:shd w:val="clear" w:color="auto" w:fill="FFFFFF"/>
        </w:rPr>
        <w:t>enough, there is no need to prove damages. However, the direct application of force does not have to be physical. For example, the driving away of cattle is trespass to chattel.</w:t>
      </w:r>
    </w:p>
    <w:p w:rsidR="00D27EA5" w:rsidRDefault="00D27EA5">
      <w:pPr>
        <w:spacing w:line="360" w:lineRule="auto"/>
        <w:rPr>
          <w:rFonts w:ascii="Times New Roman" w:eastAsia="Georgia" w:hAnsi="Times New Roman" w:cs="Times New Roman"/>
          <w:b/>
          <w:bCs/>
          <w:color w:val="111111"/>
          <w:sz w:val="24"/>
          <w:szCs w:val="24"/>
          <w:shd w:val="clear" w:color="auto" w:fill="FFFFFF"/>
        </w:rPr>
      </w:pPr>
    </w:p>
    <w:p w:rsidR="00D27EA5" w:rsidRDefault="00E87FB7">
      <w:pPr>
        <w:spacing w:line="360" w:lineRule="auto"/>
        <w:rPr>
          <w:rFonts w:ascii="Times New Roman" w:eastAsia="Georgia" w:hAnsi="Times New Roman" w:cs="Times New Roman"/>
          <w:b/>
          <w:bCs/>
          <w:color w:val="111111"/>
          <w:sz w:val="24"/>
          <w:szCs w:val="24"/>
          <w:shd w:val="clear" w:color="auto" w:fill="FFFFFF"/>
        </w:rPr>
      </w:pPr>
      <w:r>
        <w:rPr>
          <w:rFonts w:ascii="Times New Roman" w:eastAsia="Georgia" w:hAnsi="Times New Roman" w:cs="Times New Roman"/>
          <w:b/>
          <w:bCs/>
          <w:color w:val="111111"/>
          <w:sz w:val="24"/>
          <w:szCs w:val="24"/>
          <w:shd w:val="clear" w:color="auto" w:fill="FFFFFF"/>
        </w:rPr>
        <w:t>C</w:t>
      </w:r>
      <w:r>
        <w:rPr>
          <w:rFonts w:ascii="Times New Roman" w:eastAsia="Georgia" w:hAnsi="Times New Roman" w:cs="Times New Roman"/>
          <w:b/>
          <w:bCs/>
          <w:color w:val="111111"/>
          <w:sz w:val="24"/>
          <w:szCs w:val="24"/>
          <w:shd w:val="clear" w:color="auto" w:fill="FFFFFF"/>
        </w:rPr>
        <w:t xml:space="preserve">oncept of trespass to chattel </w:t>
      </w:r>
    </w:p>
    <w:p w:rsidR="00D27EA5" w:rsidRDefault="00E87FB7">
      <w:pPr>
        <w:spacing w:line="360" w:lineRule="auto"/>
        <w:rPr>
          <w:rFonts w:eastAsia="Georgia" w:cs="Times New Roman"/>
          <w:color w:val="111111"/>
          <w:sz w:val="24"/>
          <w:szCs w:val="24"/>
          <w:shd w:val="clear" w:color="auto" w:fill="FFFFFF"/>
        </w:rPr>
      </w:pPr>
      <w:r>
        <w:rPr>
          <w:rFonts w:ascii="Times New Roman" w:eastAsia="Georgia" w:hAnsi="Times New Roman" w:cs="Times New Roman"/>
          <w:color w:val="111111"/>
          <w:sz w:val="24"/>
          <w:szCs w:val="24"/>
          <w:shd w:val="clear" w:color="auto" w:fill="FFFFFF"/>
        </w:rPr>
        <w:t>T</w:t>
      </w:r>
      <w:r>
        <w:rPr>
          <w:rFonts w:ascii="Times New Roman" w:eastAsia="Georgia" w:hAnsi="Times New Roman" w:cs="Times New Roman"/>
          <w:color w:val="111111"/>
          <w:sz w:val="24"/>
          <w:szCs w:val="24"/>
          <w:shd w:val="clear" w:color="auto" w:fill="FFFFFF"/>
        </w:rPr>
        <w:t>he purpose of trespass to person is to prote</w:t>
      </w:r>
      <w:r>
        <w:rPr>
          <w:rFonts w:ascii="Times New Roman" w:eastAsia="Georgia" w:hAnsi="Times New Roman" w:cs="Times New Roman"/>
          <w:color w:val="111111"/>
          <w:sz w:val="24"/>
          <w:szCs w:val="24"/>
          <w:shd w:val="clear" w:color="auto" w:fill="FFFFFF"/>
        </w:rPr>
        <w:t xml:space="preserve">ct the rightful owner of a chattel or </w:t>
      </w:r>
      <w:proofErr w:type="spellStart"/>
      <w:r>
        <w:rPr>
          <w:rFonts w:ascii="Times New Roman" w:eastAsia="Georgia" w:hAnsi="Times New Roman" w:cs="Times New Roman"/>
          <w:color w:val="111111"/>
          <w:sz w:val="24"/>
          <w:szCs w:val="24"/>
          <w:shd w:val="clear" w:color="auto" w:fill="FFFFFF"/>
        </w:rPr>
        <w:t>property.</w:t>
      </w:r>
      <w:r>
        <w:rPr>
          <w:rFonts w:eastAsia="Georgia" w:cs="Times New Roman"/>
          <w:color w:val="111111"/>
          <w:sz w:val="24"/>
          <w:szCs w:val="24"/>
          <w:shd w:val="clear" w:color="auto" w:fill="FFFFFF"/>
        </w:rPr>
        <w:t>T</w:t>
      </w:r>
      <w:r>
        <w:rPr>
          <w:rFonts w:eastAsia="Georgia" w:cs="Times New Roman"/>
          <w:color w:val="111111"/>
          <w:sz w:val="24"/>
          <w:szCs w:val="24"/>
          <w:shd w:val="clear" w:color="auto" w:fill="FFFFFF"/>
        </w:rPr>
        <w:t>he</w:t>
      </w:r>
      <w:proofErr w:type="spellEnd"/>
      <w:r>
        <w:rPr>
          <w:rFonts w:eastAsia="Georgia" w:cs="Times New Roman"/>
          <w:color w:val="111111"/>
          <w:sz w:val="24"/>
          <w:szCs w:val="24"/>
          <w:shd w:val="clear" w:color="auto" w:fill="FFFFFF"/>
        </w:rPr>
        <w:t xml:space="preserve"> tort of trespass to chattels protects all the chattel, goods, or personal properties of a person who has title, or possession by prohibiting all interference without legal justification. </w:t>
      </w:r>
      <w:r>
        <w:rPr>
          <w:rFonts w:eastAsia="Georgia" w:cs="Times New Roman"/>
          <w:color w:val="111111"/>
          <w:sz w:val="24"/>
          <w:szCs w:val="24"/>
          <w:shd w:val="clear" w:color="auto" w:fill="FFFFFF"/>
        </w:rPr>
        <w:t>T</w:t>
      </w:r>
      <w:r>
        <w:rPr>
          <w:rFonts w:eastAsia="Georgia" w:cs="Times New Roman"/>
          <w:color w:val="111111"/>
          <w:sz w:val="24"/>
          <w:szCs w:val="24"/>
          <w:shd w:val="clear" w:color="auto" w:fill="FFFFFF"/>
        </w:rPr>
        <w:t>he tort of trespass to chattel protects the rights of ownership o</w:t>
      </w:r>
      <w:r>
        <w:rPr>
          <w:rFonts w:eastAsia="Georgia" w:cs="Times New Roman"/>
          <w:color w:val="111111"/>
          <w:sz w:val="24"/>
          <w:szCs w:val="24"/>
          <w:shd w:val="clear" w:color="auto" w:fill="FFFFFF"/>
        </w:rPr>
        <w:t xml:space="preserve">r possession of a chattel from all wrongful interference. </w:t>
      </w:r>
      <w:r>
        <w:rPr>
          <w:rFonts w:eastAsia="Georgia" w:cs="Times New Roman"/>
          <w:color w:val="111111"/>
          <w:sz w:val="24"/>
          <w:szCs w:val="24"/>
          <w:shd w:val="clear" w:color="auto" w:fill="FFFFFF"/>
        </w:rPr>
        <w:t>T</w:t>
      </w:r>
      <w:r>
        <w:rPr>
          <w:rFonts w:eastAsia="Georgia" w:cs="Times New Roman"/>
          <w:color w:val="111111"/>
          <w:sz w:val="24"/>
          <w:szCs w:val="24"/>
          <w:shd w:val="clear" w:color="auto" w:fill="FFFFFF"/>
        </w:rPr>
        <w:t>hus, the tort of trespass to chattel protects the chattels, goods, and all personal properties of a person who has title, possession, or right to immediate possession against meddling</w:t>
      </w:r>
      <w:r>
        <w:rPr>
          <w:rStyle w:val="FootnoteReference"/>
          <w:rFonts w:eastAsia="Georgia" w:cs="Times New Roman"/>
          <w:color w:val="111111"/>
          <w:sz w:val="24"/>
          <w:szCs w:val="24"/>
          <w:shd w:val="clear" w:color="auto" w:fill="FFFFFF"/>
        </w:rPr>
        <w:footnoteReference w:customMarkFollows="1" w:id="2"/>
        <w:t>2</w:t>
      </w:r>
      <w:r>
        <w:rPr>
          <w:rFonts w:eastAsia="Georgia" w:cs="Times New Roman"/>
          <w:color w:val="111111"/>
          <w:sz w:val="24"/>
          <w:szCs w:val="24"/>
          <w:shd w:val="clear" w:color="auto" w:fill="FFFFFF"/>
        </w:rPr>
        <w:t>, damage, de</w:t>
      </w:r>
      <w:r>
        <w:rPr>
          <w:rFonts w:eastAsia="Georgia" w:cs="Times New Roman"/>
          <w:color w:val="111111"/>
          <w:sz w:val="24"/>
          <w:szCs w:val="24"/>
          <w:shd w:val="clear" w:color="auto" w:fill="FFFFFF"/>
        </w:rPr>
        <w:t xml:space="preserve">struction, diminution, conversion, </w:t>
      </w:r>
      <w:proofErr w:type="spellStart"/>
      <w:r>
        <w:rPr>
          <w:rFonts w:eastAsia="Georgia" w:cs="Times New Roman"/>
          <w:color w:val="111111"/>
          <w:sz w:val="24"/>
          <w:szCs w:val="24"/>
          <w:shd w:val="clear" w:color="auto" w:fill="FFFFFF"/>
        </w:rPr>
        <w:t>detinue</w:t>
      </w:r>
      <w:proofErr w:type="spellEnd"/>
      <w:r>
        <w:rPr>
          <w:rFonts w:eastAsia="Georgia" w:cs="Times New Roman"/>
          <w:color w:val="111111"/>
          <w:sz w:val="24"/>
          <w:szCs w:val="24"/>
          <w:shd w:val="clear" w:color="auto" w:fill="FFFFFF"/>
        </w:rPr>
        <w:t xml:space="preserve">, or any interference </w:t>
      </w:r>
      <w:r>
        <w:rPr>
          <w:rFonts w:eastAsia="Georgia" w:cs="Times New Roman"/>
          <w:color w:val="111111"/>
          <w:sz w:val="24"/>
          <w:szCs w:val="24"/>
          <w:shd w:val="clear" w:color="auto" w:fill="FFFFFF"/>
        </w:rPr>
        <w:lastRenderedPageBreak/>
        <w:t xml:space="preserve">whatsoever, by any other person without lawful justification. </w:t>
      </w:r>
      <w:r>
        <w:rPr>
          <w:rFonts w:eastAsia="Georgia" w:cs="Times New Roman"/>
          <w:color w:val="111111"/>
          <w:sz w:val="24"/>
          <w:szCs w:val="24"/>
          <w:shd w:val="clear" w:color="auto" w:fill="FFFFFF"/>
        </w:rPr>
        <w:t>S</w:t>
      </w:r>
      <w:r>
        <w:rPr>
          <w:rFonts w:eastAsia="Georgia" w:cs="Times New Roman"/>
          <w:color w:val="111111"/>
          <w:sz w:val="24"/>
          <w:szCs w:val="24"/>
          <w:shd w:val="clear" w:color="auto" w:fill="FFFFFF"/>
        </w:rPr>
        <w:t>o, in a nutshell, the aim of law of tort as to trespass to person is to protect the rightful owner of a chattel or property.</w:t>
      </w:r>
    </w:p>
    <w:p w:rsidR="00D27EA5" w:rsidRDefault="00E87FB7">
      <w:pPr>
        <w:spacing w:line="360" w:lineRule="auto"/>
        <w:rPr>
          <w:rFonts w:eastAsia="Georgia" w:cs="Times New Roman"/>
          <w:b/>
          <w:bCs/>
          <w:color w:val="111111"/>
          <w:sz w:val="24"/>
          <w:szCs w:val="24"/>
          <w:shd w:val="clear" w:color="auto" w:fill="FFFFFF"/>
        </w:rPr>
      </w:pPr>
      <w:r>
        <w:rPr>
          <w:rFonts w:eastAsia="Georgia" w:cs="Times New Roman"/>
          <w:b/>
          <w:bCs/>
          <w:color w:val="111111"/>
          <w:sz w:val="24"/>
          <w:szCs w:val="24"/>
          <w:shd w:val="clear" w:color="auto" w:fill="FFFFFF"/>
        </w:rPr>
        <w:t>T</w:t>
      </w:r>
      <w:r>
        <w:rPr>
          <w:rFonts w:eastAsia="Georgia" w:cs="Times New Roman"/>
          <w:b/>
          <w:bCs/>
          <w:color w:val="111111"/>
          <w:sz w:val="24"/>
          <w:szCs w:val="24"/>
          <w:shd w:val="clear" w:color="auto" w:fill="FFFFFF"/>
        </w:rPr>
        <w:t xml:space="preserve">he </w:t>
      </w:r>
      <w:r>
        <w:rPr>
          <w:rFonts w:eastAsia="Georgia" w:cs="Times New Roman"/>
          <w:b/>
          <w:bCs/>
          <w:color w:val="111111"/>
          <w:sz w:val="24"/>
          <w:szCs w:val="24"/>
          <w:shd w:val="clear" w:color="auto" w:fill="FFFFFF"/>
        </w:rPr>
        <w:t xml:space="preserve">Element of trespass to chattel </w:t>
      </w:r>
    </w:p>
    <w:p w:rsidR="00D27EA5" w:rsidRDefault="00E87FB7">
      <w:pPr>
        <w:spacing w:line="360" w:lineRule="auto"/>
        <w:rPr>
          <w:rFonts w:eastAsia="Georgia" w:cs="Times New Roman"/>
          <w:color w:val="111111"/>
          <w:sz w:val="24"/>
          <w:szCs w:val="24"/>
          <w:shd w:val="clear" w:color="auto" w:fill="FFFFFF"/>
        </w:rPr>
      </w:pPr>
      <w:r>
        <w:rPr>
          <w:rFonts w:eastAsia="Georgia" w:cs="Times New Roman"/>
          <w:color w:val="111111"/>
          <w:sz w:val="24"/>
          <w:szCs w:val="24"/>
          <w:shd w:val="clear" w:color="auto" w:fill="FFFFFF"/>
        </w:rPr>
        <w:t>T</w:t>
      </w:r>
      <w:r>
        <w:rPr>
          <w:rFonts w:eastAsia="Georgia" w:cs="Times New Roman"/>
          <w:color w:val="111111"/>
          <w:sz w:val="24"/>
          <w:szCs w:val="24"/>
          <w:shd w:val="clear" w:color="auto" w:fill="FFFFFF"/>
        </w:rPr>
        <w:t xml:space="preserve">he most quality and most important element of trespass is that, trespass is actionable per se. </w:t>
      </w:r>
      <w:r>
        <w:rPr>
          <w:rFonts w:eastAsia="Georgia" w:cs="Times New Roman"/>
          <w:color w:val="111111"/>
          <w:sz w:val="24"/>
          <w:szCs w:val="24"/>
          <w:shd w:val="clear" w:color="auto" w:fill="FFFFFF"/>
        </w:rPr>
        <w:t>I</w:t>
      </w:r>
      <w:r>
        <w:rPr>
          <w:rFonts w:eastAsia="Georgia" w:cs="Times New Roman"/>
          <w:color w:val="111111"/>
          <w:sz w:val="24"/>
          <w:szCs w:val="24"/>
          <w:shd w:val="clear" w:color="auto" w:fill="FFFFFF"/>
        </w:rPr>
        <w:t xml:space="preserve">n the case of </w:t>
      </w:r>
      <w:proofErr w:type="spellStart"/>
      <w:r>
        <w:rPr>
          <w:rFonts w:eastAsia="Georgia" w:cs="Times New Roman"/>
          <w:b/>
          <w:bCs/>
          <w:color w:val="111111"/>
          <w:sz w:val="24"/>
          <w:szCs w:val="24"/>
          <w:shd w:val="clear" w:color="auto" w:fill="FFFFFF"/>
        </w:rPr>
        <w:t>Erive</w:t>
      </w:r>
      <w:proofErr w:type="spellEnd"/>
      <w:r>
        <w:rPr>
          <w:rFonts w:eastAsia="Georgia" w:cs="Times New Roman"/>
          <w:b/>
          <w:bCs/>
          <w:color w:val="111111"/>
          <w:sz w:val="24"/>
          <w:szCs w:val="24"/>
          <w:shd w:val="clear" w:color="auto" w:fill="FFFFFF"/>
        </w:rPr>
        <w:t xml:space="preserve"> v. Obi</w:t>
      </w:r>
      <w:r>
        <w:rPr>
          <w:rFonts w:eastAsia="Georgia" w:cs="Times New Roman"/>
          <w:color w:val="111111"/>
          <w:sz w:val="24"/>
          <w:szCs w:val="24"/>
          <w:shd w:val="clear" w:color="auto" w:fill="FFFFFF"/>
        </w:rPr>
        <w:t>, the defendant closed the door of the plaintiff’s car, and the side windscreen got broken, the plaintiff sued inter alia for damage to the windscreen and the loss incurred in hiring another car for his business, the court of Appeal held that the defendant</w:t>
      </w:r>
      <w:r>
        <w:rPr>
          <w:rFonts w:eastAsia="Georgia" w:cs="Times New Roman"/>
          <w:color w:val="111111"/>
          <w:sz w:val="24"/>
          <w:szCs w:val="24"/>
          <w:shd w:val="clear" w:color="auto" w:fill="FFFFFF"/>
        </w:rPr>
        <w:t xml:space="preserve"> was not liable. </w:t>
      </w:r>
      <w:r>
        <w:rPr>
          <w:rFonts w:eastAsia="Georgia" w:cs="Times New Roman"/>
          <w:color w:val="111111"/>
          <w:sz w:val="24"/>
          <w:szCs w:val="24"/>
          <w:shd w:val="clear" w:color="auto" w:fill="FFFFFF"/>
        </w:rPr>
        <w:t>T</w:t>
      </w:r>
      <w:r>
        <w:rPr>
          <w:rFonts w:eastAsia="Georgia" w:cs="Times New Roman"/>
          <w:color w:val="111111"/>
          <w:sz w:val="24"/>
          <w:szCs w:val="24"/>
          <w:shd w:val="clear" w:color="auto" w:fill="FFFFFF"/>
        </w:rPr>
        <w:t xml:space="preserve">he defendant did not used excessive force to closed the door. </w:t>
      </w:r>
      <w:r>
        <w:rPr>
          <w:rFonts w:eastAsia="Georgia" w:cs="Times New Roman"/>
          <w:color w:val="111111"/>
          <w:sz w:val="24"/>
          <w:szCs w:val="24"/>
          <w:shd w:val="clear" w:color="auto" w:fill="FFFFFF"/>
        </w:rPr>
        <w:t>S</w:t>
      </w:r>
      <w:r>
        <w:rPr>
          <w:rFonts w:eastAsia="Georgia" w:cs="Times New Roman"/>
          <w:color w:val="111111"/>
          <w:sz w:val="24"/>
          <w:szCs w:val="24"/>
          <w:shd w:val="clear" w:color="auto" w:fill="FFFFFF"/>
        </w:rPr>
        <w:t xml:space="preserve">o therefore he did not break the windscreen intentionally nor negligently. </w:t>
      </w:r>
      <w:r>
        <w:rPr>
          <w:rFonts w:eastAsia="Georgia" w:cs="Times New Roman"/>
          <w:color w:val="111111"/>
          <w:sz w:val="24"/>
          <w:szCs w:val="24"/>
          <w:shd w:val="clear" w:color="auto" w:fill="FFFFFF"/>
        </w:rPr>
        <w:t>I</w:t>
      </w:r>
      <w:r>
        <w:rPr>
          <w:rFonts w:eastAsia="Georgia" w:cs="Times New Roman"/>
          <w:color w:val="111111"/>
          <w:sz w:val="24"/>
          <w:szCs w:val="24"/>
          <w:shd w:val="clear" w:color="auto" w:fill="FFFFFF"/>
        </w:rPr>
        <w:t>n this case, the Court Of Appeal restated the position of the law that, trespass to chattel is acti</w:t>
      </w:r>
      <w:r>
        <w:rPr>
          <w:rFonts w:eastAsia="Georgia" w:cs="Times New Roman"/>
          <w:color w:val="111111"/>
          <w:sz w:val="24"/>
          <w:szCs w:val="24"/>
          <w:shd w:val="clear" w:color="auto" w:fill="FFFFFF"/>
        </w:rPr>
        <w:t>onable per se, that is, without proof of actual damage.</w:t>
      </w:r>
    </w:p>
    <w:p w:rsidR="00D27EA5" w:rsidRDefault="00E87FB7">
      <w:pPr>
        <w:pStyle w:val="NormalWeb"/>
        <w:shd w:val="clear" w:color="auto" w:fill="FFFFFF"/>
        <w:spacing w:beforeAutospacing="0" w:after="420" w:afterAutospacing="0" w:line="360" w:lineRule="auto"/>
        <w:rPr>
          <w:rFonts w:eastAsia="Georgia"/>
          <w:color w:val="111111"/>
          <w:shd w:val="clear" w:color="auto" w:fill="FFFFFF"/>
        </w:rPr>
      </w:pPr>
      <w:r>
        <w:rPr>
          <w:rFonts w:eastAsia="Georgia"/>
          <w:color w:val="111111"/>
          <w:shd w:val="clear" w:color="auto" w:fill="FFFFFF"/>
        </w:rPr>
        <w:t>T</w:t>
      </w:r>
      <w:r>
        <w:rPr>
          <w:rFonts w:eastAsia="Georgia"/>
          <w:color w:val="111111"/>
          <w:shd w:val="clear" w:color="auto" w:fill="FFFFFF"/>
        </w:rPr>
        <w:t>herefore, for trespass to chattel to be actionable, it must have been done by the wrongdoer;</w:t>
      </w:r>
    </w:p>
    <w:p w:rsidR="00D27EA5" w:rsidRDefault="00E87FB7">
      <w:pPr>
        <w:pStyle w:val="NormalWeb"/>
        <w:numPr>
          <w:ilvl w:val="0"/>
          <w:numId w:val="2"/>
        </w:numPr>
        <w:shd w:val="clear" w:color="auto" w:fill="FFFFFF"/>
        <w:spacing w:beforeAutospacing="0" w:after="420" w:afterAutospacing="0" w:line="360" w:lineRule="auto"/>
        <w:rPr>
          <w:rFonts w:eastAsia="Georgia"/>
          <w:color w:val="111111"/>
          <w:shd w:val="clear" w:color="auto" w:fill="FFFFFF"/>
        </w:rPr>
      </w:pPr>
      <w:r>
        <w:rPr>
          <w:rFonts w:eastAsia="Georgia"/>
          <w:color w:val="111111"/>
          <w:shd w:val="clear" w:color="auto" w:fill="FFFFFF"/>
        </w:rPr>
        <w:t>I</w:t>
      </w:r>
      <w:r>
        <w:rPr>
          <w:rFonts w:eastAsia="Georgia"/>
          <w:color w:val="111111"/>
          <w:shd w:val="clear" w:color="auto" w:fill="FFFFFF"/>
        </w:rPr>
        <w:t>ntentionally or</w:t>
      </w:r>
    </w:p>
    <w:p w:rsidR="00D27EA5" w:rsidRDefault="00E87FB7">
      <w:pPr>
        <w:pStyle w:val="NormalWeb"/>
        <w:numPr>
          <w:ilvl w:val="0"/>
          <w:numId w:val="2"/>
        </w:numPr>
        <w:shd w:val="clear" w:color="auto" w:fill="FFFFFF"/>
        <w:spacing w:beforeAutospacing="0" w:after="420" w:afterAutospacing="0" w:line="360" w:lineRule="auto"/>
        <w:rPr>
          <w:rFonts w:eastAsia="Georgia"/>
          <w:color w:val="111111"/>
          <w:shd w:val="clear" w:color="auto" w:fill="FFFFFF"/>
        </w:rPr>
      </w:pPr>
      <w:r>
        <w:rPr>
          <w:rFonts w:eastAsia="Georgia"/>
          <w:color w:val="111111"/>
          <w:shd w:val="clear" w:color="auto" w:fill="FFFFFF"/>
        </w:rPr>
        <w:t>N</w:t>
      </w:r>
      <w:r>
        <w:rPr>
          <w:rFonts w:eastAsia="Georgia"/>
          <w:color w:val="111111"/>
          <w:shd w:val="clear" w:color="auto" w:fill="FFFFFF"/>
        </w:rPr>
        <w:t>egligently.</w:t>
      </w:r>
    </w:p>
    <w:p w:rsidR="00D27EA5" w:rsidRDefault="00E87FB7">
      <w:pPr>
        <w:numPr>
          <w:ilvl w:val="0"/>
          <w:numId w:val="1"/>
        </w:numPr>
        <w:spacing w:line="360" w:lineRule="auto"/>
        <w:rPr>
          <w:rFonts w:ascii="Times New Roman" w:hAnsi="Times New Roman" w:cs="Times New Roman"/>
          <w:b/>
          <w:bCs/>
          <w:sz w:val="24"/>
          <w:szCs w:val="24"/>
        </w:rPr>
      </w:pPr>
      <w:r>
        <w:rPr>
          <w:rFonts w:ascii="Times New Roman" w:hAnsi="Times New Roman" w:cs="Times New Roman"/>
          <w:b/>
          <w:bCs/>
          <w:sz w:val="24"/>
          <w:szCs w:val="24"/>
        </w:rPr>
        <w:t>Concept of conversion</w:t>
      </w:r>
    </w:p>
    <w:p w:rsidR="00D27EA5" w:rsidRDefault="00E87FB7">
      <w:pPr>
        <w:pStyle w:val="NormalWeb"/>
        <w:shd w:val="clear" w:color="auto" w:fill="FFFFFF"/>
        <w:spacing w:beforeAutospacing="0" w:after="420" w:afterAutospacing="0" w:line="360" w:lineRule="auto"/>
      </w:pPr>
      <w:r>
        <w:rPr>
          <w:rFonts w:eastAsia="Georgia"/>
          <w:color w:val="111111"/>
          <w:shd w:val="clear" w:color="auto" w:fill="FFFFFF"/>
        </w:rPr>
        <w:t>C</w:t>
      </w:r>
      <w:r>
        <w:rPr>
          <w:rFonts w:eastAsia="Georgia"/>
          <w:color w:val="111111"/>
          <w:shd w:val="clear" w:color="auto" w:fill="FFFFFF"/>
        </w:rPr>
        <w:t>onversion is based on detention of another person’s p</w:t>
      </w:r>
      <w:r>
        <w:rPr>
          <w:rFonts w:eastAsia="Georgia"/>
          <w:color w:val="111111"/>
          <w:shd w:val="clear" w:color="auto" w:fill="FFFFFF"/>
        </w:rPr>
        <w:t xml:space="preserve">roperty without any legal justification. </w:t>
      </w:r>
      <w:r>
        <w:rPr>
          <w:rFonts w:eastAsia="Georgia"/>
          <w:color w:val="111111"/>
          <w:shd w:val="clear" w:color="auto" w:fill="FFFFFF"/>
        </w:rPr>
        <w:t>I</w:t>
      </w:r>
      <w:r>
        <w:rPr>
          <w:rFonts w:eastAsia="Georgia"/>
          <w:color w:val="111111"/>
          <w:shd w:val="clear" w:color="auto" w:fill="FFFFFF"/>
        </w:rPr>
        <w:t xml:space="preserve">n the word of </w:t>
      </w:r>
      <w:r>
        <w:t xml:space="preserve"> </w:t>
      </w:r>
      <w:r>
        <w:rPr>
          <w:b/>
          <w:bCs/>
        </w:rPr>
        <w:t>SIR JOHN SALMOND</w:t>
      </w:r>
      <w:r>
        <w:rPr>
          <w:rStyle w:val="FootnoteReference"/>
          <w:b/>
          <w:bCs/>
        </w:rPr>
        <w:footnoteReference w:customMarkFollows="1" w:id="3"/>
        <w:t>3</w:t>
      </w:r>
      <w:r>
        <w:t xml:space="preserve"> in his book “Law of Tort</w:t>
      </w:r>
      <w:r>
        <w:rPr>
          <w:i/>
          <w:iCs/>
        </w:rPr>
        <w:t xml:space="preserve">” a conversion is an act of </w:t>
      </w:r>
      <w:proofErr w:type="spellStart"/>
      <w:r>
        <w:rPr>
          <w:i/>
          <w:iCs/>
        </w:rPr>
        <w:t>wilful</w:t>
      </w:r>
      <w:proofErr w:type="spellEnd"/>
      <w:r>
        <w:rPr>
          <w:i/>
          <w:iCs/>
        </w:rPr>
        <w:t xml:space="preserve"> interference without lawful justification with any chattel in a manner in-consistence with the right of another </w:t>
      </w:r>
      <w:r>
        <w:rPr>
          <w:i/>
          <w:iCs/>
        </w:rPr>
        <w:t>whereby that other is deprived of the use and possession of it.</w:t>
      </w:r>
      <w:r>
        <w:rPr>
          <w:i/>
          <w:iCs/>
        </w:rPr>
        <w:t xml:space="preserve"> </w:t>
      </w:r>
      <w:r>
        <w:t xml:space="preserve">conversion is any inconsistent dealing with a chattel, to which another person is entitled to immediate possession, whereby the person is denied the use, </w:t>
      </w:r>
      <w:proofErr w:type="spellStart"/>
      <w:r>
        <w:t>possession,title</w:t>
      </w:r>
      <w:proofErr w:type="spellEnd"/>
      <w:r>
        <w:t xml:space="preserve"> to it</w:t>
      </w:r>
      <w:r>
        <w:rPr>
          <w:rStyle w:val="FootnoteReference"/>
        </w:rPr>
        <w:footnoteReference w:customMarkFollows="1" w:id="4"/>
        <w:t>4</w:t>
      </w:r>
      <w:r>
        <w:t>. Thus, an own</w:t>
      </w:r>
      <w:r>
        <w:t xml:space="preserve">er can sue for conversion. A person who has mere custody, temporary possession or caretaker-ship can sue any third party who tries to detain, dispose, steal or otherwise convert such chattel. In the case of </w:t>
      </w:r>
      <w:r>
        <w:rPr>
          <w:b/>
          <w:bCs/>
        </w:rPr>
        <w:t>North Central Wagon &amp; Finance Co. Ltd v. Graham</w:t>
      </w:r>
      <w:r>
        <w:rPr>
          <w:rStyle w:val="FootnoteReference"/>
          <w:b/>
          <w:bCs/>
        </w:rPr>
        <w:footnoteReference w:customMarkFollows="1" w:id="5"/>
        <w:t>5</w:t>
      </w:r>
      <w:r>
        <w:rPr>
          <w:b/>
          <w:bCs/>
        </w:rPr>
        <w:t xml:space="preserve">. </w:t>
      </w:r>
      <w:r>
        <w:t xml:space="preserve">The defendant hire </w:t>
      </w:r>
      <w:r>
        <w:lastRenderedPageBreak/>
        <w:t>purchaser sold the car in contravention of the terms of the hire purchase agreement. In the circumstances the court held that the plaintiff finance company was entitled to terminate the hire purchase agreement , and sue the selling hi</w:t>
      </w:r>
      <w:r>
        <w:t>re purchaser in the tort of conversion for recovery of the car.</w:t>
      </w:r>
      <w:r>
        <w:t xml:space="preserve"> The reason why the court gave this judgement is because the defendant converted the car that is yet to be his own which is based on hire purchase by selling it to another person. Conversion in</w:t>
      </w:r>
      <w:r>
        <w:t xml:space="preserve"> law of tort goes a long way because for you to convert a property to yourself, it must legally, legitimately will to you. </w:t>
      </w:r>
    </w:p>
    <w:p w:rsidR="00D27EA5" w:rsidRDefault="00E87FB7">
      <w:pPr>
        <w:numPr>
          <w:ilvl w:val="0"/>
          <w:numId w:val="3"/>
        </w:numPr>
        <w:spacing w:line="360" w:lineRule="auto"/>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Pr>
          <w:rFonts w:ascii="Times New Roman" w:hAnsi="Times New Roman" w:cs="Times New Roman"/>
          <w:b/>
          <w:bCs/>
          <w:sz w:val="24"/>
          <w:szCs w:val="24"/>
          <w:u w:val="single"/>
        </w:rPr>
        <w:t>Lost property rule and give examples of conversion</w:t>
      </w:r>
    </w:p>
    <w:p w:rsidR="00D27EA5" w:rsidRDefault="00E87FB7">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The rules of law </w:t>
      </w:r>
      <w:r>
        <w:rPr>
          <w:rFonts w:ascii="Times New Roman" w:hAnsi="Times New Roman" w:cs="Times New Roman"/>
          <w:sz w:val="24"/>
          <w:szCs w:val="24"/>
        </w:rPr>
        <w:t xml:space="preserve">applicable to finding a lost property were authoritatively settled by the </w:t>
      </w:r>
      <w:proofErr w:type="spellStart"/>
      <w:r>
        <w:rPr>
          <w:rFonts w:ascii="Times New Roman" w:hAnsi="Times New Roman" w:cs="Times New Roman"/>
          <w:sz w:val="24"/>
          <w:szCs w:val="24"/>
        </w:rPr>
        <w:t>english</w:t>
      </w:r>
      <w:proofErr w:type="spellEnd"/>
      <w:r>
        <w:rPr>
          <w:rFonts w:ascii="Times New Roman" w:hAnsi="Times New Roman" w:cs="Times New Roman"/>
          <w:sz w:val="24"/>
          <w:szCs w:val="24"/>
        </w:rPr>
        <w:t xml:space="preserve"> court of appeal in the case of </w:t>
      </w:r>
      <w:r>
        <w:rPr>
          <w:rFonts w:ascii="Times New Roman" w:hAnsi="Times New Roman" w:cs="Times New Roman"/>
          <w:b/>
          <w:bCs/>
          <w:sz w:val="24"/>
          <w:szCs w:val="24"/>
        </w:rPr>
        <w:t>Parker v. Britishairways</w:t>
      </w:r>
      <w:r>
        <w:rPr>
          <w:rStyle w:val="FootnoteReference"/>
          <w:rFonts w:ascii="Times New Roman" w:hAnsi="Times New Roman" w:cs="Times New Roman"/>
          <w:b/>
          <w:bCs/>
          <w:sz w:val="24"/>
          <w:szCs w:val="24"/>
        </w:rPr>
        <w:footnoteReference w:customMarkFollows="1" w:id="6"/>
        <w:t>6</w:t>
      </w:r>
      <w:r>
        <w:rPr>
          <w:rFonts w:ascii="Times New Roman" w:hAnsi="Times New Roman" w:cs="Times New Roman"/>
          <w:b/>
          <w:bCs/>
          <w:sz w:val="24"/>
          <w:szCs w:val="24"/>
        </w:rPr>
        <w:t>, in this case t</w:t>
      </w:r>
      <w:r>
        <w:rPr>
          <w:rFonts w:ascii="Times New Roman" w:hAnsi="Times New Roman" w:cs="Times New Roman"/>
          <w:sz w:val="24"/>
          <w:szCs w:val="24"/>
        </w:rPr>
        <w:t xml:space="preserve">he plaintiff was waiting in the defendant airways lounge at </w:t>
      </w:r>
      <w:proofErr w:type="spellStart"/>
      <w:r>
        <w:rPr>
          <w:rFonts w:ascii="Times New Roman" w:hAnsi="Times New Roman" w:cs="Times New Roman"/>
          <w:sz w:val="24"/>
          <w:szCs w:val="24"/>
        </w:rPr>
        <w:t>heathrow</w:t>
      </w:r>
      <w:proofErr w:type="spellEnd"/>
      <w:r>
        <w:rPr>
          <w:rFonts w:ascii="Times New Roman" w:hAnsi="Times New Roman" w:cs="Times New Roman"/>
          <w:sz w:val="24"/>
          <w:szCs w:val="24"/>
        </w:rPr>
        <w:t xml:space="preserve"> Airport, London, England where h</w:t>
      </w:r>
      <w:r>
        <w:rPr>
          <w:rFonts w:ascii="Times New Roman" w:hAnsi="Times New Roman" w:cs="Times New Roman"/>
          <w:sz w:val="24"/>
          <w:szCs w:val="24"/>
        </w:rPr>
        <w:t xml:space="preserve">e found a bracelet on the floor and handed over to the employees of the defendant and stated that if the owner did not come for it that is should be return back to him and he put his name and address down. It was not claimed by the owner and the defendant </w:t>
      </w:r>
      <w:r>
        <w:rPr>
          <w:rFonts w:ascii="Times New Roman" w:hAnsi="Times New Roman" w:cs="Times New Roman"/>
          <w:sz w:val="24"/>
          <w:szCs w:val="24"/>
        </w:rPr>
        <w:t xml:space="preserve">sold it. The English Court Of Appeal held that the proceeds of sale belongs to the plaintiff who find it. Also in the case of </w:t>
      </w:r>
      <w:r>
        <w:rPr>
          <w:rFonts w:ascii="Times New Roman" w:hAnsi="Times New Roman" w:cs="Times New Roman"/>
          <w:b/>
          <w:bCs/>
          <w:sz w:val="24"/>
          <w:szCs w:val="24"/>
        </w:rPr>
        <w:t>Bridges v. Hawkesworth</w:t>
      </w:r>
      <w:r>
        <w:rPr>
          <w:rStyle w:val="FootnoteReference"/>
          <w:rFonts w:ascii="Times New Roman" w:hAnsi="Times New Roman" w:cs="Times New Roman"/>
          <w:b/>
          <w:bCs/>
          <w:sz w:val="24"/>
          <w:szCs w:val="24"/>
        </w:rPr>
        <w:footnoteReference w:customMarkFollows="1" w:id="7"/>
        <w:t>7</w:t>
      </w:r>
      <w:r>
        <w:rPr>
          <w:rFonts w:ascii="Times New Roman" w:hAnsi="Times New Roman" w:cs="Times New Roman"/>
          <w:sz w:val="24"/>
          <w:szCs w:val="24"/>
        </w:rPr>
        <w:t>, the plaintiff finder of a packet of bank note lying on the floor in the public part of a shop was held e</w:t>
      </w:r>
      <w:r>
        <w:rPr>
          <w:rFonts w:ascii="Times New Roman" w:hAnsi="Times New Roman" w:cs="Times New Roman"/>
          <w:sz w:val="24"/>
          <w:szCs w:val="24"/>
        </w:rPr>
        <w:t>ntitled to the money instead of the shop owner since the rightful owner did not claimed it. However, the rules are not that easy to apply. The rules applicable for finding lost is as follow.</w:t>
      </w:r>
    </w:p>
    <w:p w:rsidR="00D27EA5" w:rsidRDefault="00E87FB7">
      <w:pPr>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A finder of a chattel does not have right of the lost chattel tha</w:t>
      </w:r>
      <w:r>
        <w:rPr>
          <w:rFonts w:ascii="Times New Roman" w:hAnsi="Times New Roman" w:cs="Times New Roman"/>
          <w:sz w:val="24"/>
          <w:szCs w:val="24"/>
        </w:rPr>
        <w:t>n to keep it for the owner and hand it over to the rightful owner.</w:t>
      </w:r>
    </w:p>
    <w:p w:rsidR="00D27EA5" w:rsidRDefault="00E87FB7">
      <w:pPr>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Any servant or agent who finds a lost property in the course of employment, does so on behalf of his employer, who by law acquires the rights of a finder.</w:t>
      </w:r>
    </w:p>
    <w:p w:rsidR="00D27EA5" w:rsidRDefault="00E87FB7">
      <w:pPr>
        <w:numPr>
          <w:ilvl w:val="0"/>
          <w:numId w:val="4"/>
        </w:num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An occupier of land or a building </w:t>
      </w:r>
      <w:r>
        <w:rPr>
          <w:rFonts w:ascii="Times New Roman" w:hAnsi="Times New Roman" w:cs="Times New Roman"/>
          <w:sz w:val="24"/>
          <w:szCs w:val="24"/>
        </w:rPr>
        <w:t xml:space="preserve">has superior rights to those of the finder over property or goods attached to the land or find in the land. In the case of </w:t>
      </w:r>
      <w:r>
        <w:rPr>
          <w:rFonts w:ascii="Times New Roman" w:hAnsi="Times New Roman" w:cs="Times New Roman"/>
          <w:b/>
          <w:bCs/>
          <w:sz w:val="24"/>
          <w:szCs w:val="24"/>
        </w:rPr>
        <w:t xml:space="preserve">south </w:t>
      </w:r>
      <w:proofErr w:type="spellStart"/>
      <w:r>
        <w:rPr>
          <w:rFonts w:ascii="Times New Roman" w:hAnsi="Times New Roman" w:cs="Times New Roman"/>
          <w:b/>
          <w:bCs/>
          <w:sz w:val="24"/>
          <w:szCs w:val="24"/>
        </w:rPr>
        <w:t>staffordshire</w:t>
      </w:r>
      <w:proofErr w:type="spellEnd"/>
      <w:r>
        <w:rPr>
          <w:rFonts w:ascii="Times New Roman" w:hAnsi="Times New Roman" w:cs="Times New Roman"/>
          <w:b/>
          <w:bCs/>
          <w:sz w:val="24"/>
          <w:szCs w:val="24"/>
        </w:rPr>
        <w:t xml:space="preserve"> water Co. V. Sharman</w:t>
      </w:r>
      <w:r>
        <w:rPr>
          <w:rStyle w:val="FootnoteReference"/>
          <w:rFonts w:ascii="Times New Roman" w:hAnsi="Times New Roman" w:cs="Times New Roman"/>
          <w:b/>
          <w:bCs/>
          <w:sz w:val="24"/>
          <w:szCs w:val="24"/>
        </w:rPr>
        <w:footnoteReference w:customMarkFollows="1" w:id="8"/>
        <w:t>8</w:t>
      </w:r>
      <w:r>
        <w:rPr>
          <w:rFonts w:ascii="Times New Roman" w:hAnsi="Times New Roman" w:cs="Times New Roman"/>
          <w:b/>
          <w:bCs/>
          <w:sz w:val="24"/>
          <w:szCs w:val="24"/>
        </w:rPr>
        <w:t>.</w:t>
      </w:r>
      <w:r>
        <w:rPr>
          <w:rFonts w:ascii="Times New Roman" w:hAnsi="Times New Roman" w:cs="Times New Roman"/>
          <w:sz w:val="24"/>
          <w:szCs w:val="24"/>
        </w:rPr>
        <w:t xml:space="preserve"> Where a prehistoric boat discovered six feed below the surface were held as belonging to </w:t>
      </w:r>
      <w:r>
        <w:rPr>
          <w:rFonts w:ascii="Times New Roman" w:hAnsi="Times New Roman" w:cs="Times New Roman"/>
          <w:sz w:val="24"/>
          <w:szCs w:val="24"/>
        </w:rPr>
        <w:t xml:space="preserve">the land owner also in the case </w:t>
      </w:r>
      <w:r>
        <w:rPr>
          <w:rFonts w:ascii="Times New Roman" w:hAnsi="Times New Roman" w:cs="Times New Roman"/>
          <w:b/>
          <w:bCs/>
          <w:sz w:val="24"/>
          <w:szCs w:val="24"/>
        </w:rPr>
        <w:t xml:space="preserve">of </w:t>
      </w:r>
      <w:proofErr w:type="spellStart"/>
      <w:r>
        <w:rPr>
          <w:rFonts w:ascii="Times New Roman" w:hAnsi="Times New Roman" w:cs="Times New Roman"/>
          <w:b/>
          <w:bCs/>
          <w:sz w:val="24"/>
          <w:szCs w:val="24"/>
        </w:rPr>
        <w:t>Elwes</w:t>
      </w:r>
      <w:proofErr w:type="spellEnd"/>
      <w:r>
        <w:rPr>
          <w:rFonts w:ascii="Times New Roman" w:hAnsi="Times New Roman" w:cs="Times New Roman"/>
          <w:b/>
          <w:bCs/>
          <w:sz w:val="24"/>
          <w:szCs w:val="24"/>
        </w:rPr>
        <w:t xml:space="preserve"> v. Briggs Gas Co</w:t>
      </w:r>
      <w:r>
        <w:rPr>
          <w:rStyle w:val="FootnoteReference"/>
          <w:rFonts w:ascii="Times New Roman" w:hAnsi="Times New Roman" w:cs="Times New Roman"/>
          <w:b/>
          <w:bCs/>
          <w:sz w:val="24"/>
          <w:szCs w:val="24"/>
        </w:rPr>
        <w:footnoteReference w:customMarkFollows="1" w:id="9"/>
        <w:t>9</w:t>
      </w:r>
      <w:r>
        <w:rPr>
          <w:rFonts w:ascii="Times New Roman" w:hAnsi="Times New Roman" w:cs="Times New Roman"/>
          <w:b/>
          <w:bCs/>
          <w:sz w:val="24"/>
          <w:szCs w:val="24"/>
        </w:rPr>
        <w:t>.</w:t>
      </w:r>
    </w:p>
    <w:p w:rsidR="00D27EA5" w:rsidRDefault="00E87FB7">
      <w:pPr>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An occupier of a premises does not have superior rights to those of a finder in respect of goods found on or in the premises except before the finding, the occupier has manifested an intention to</w:t>
      </w:r>
      <w:r>
        <w:rPr>
          <w:rFonts w:ascii="Times New Roman" w:hAnsi="Times New Roman" w:cs="Times New Roman"/>
          <w:sz w:val="24"/>
          <w:szCs w:val="24"/>
        </w:rPr>
        <w:t xml:space="preserve"> exercise control over the premises and things on it</w:t>
      </w:r>
    </w:p>
    <w:p w:rsidR="00D27EA5" w:rsidRDefault="00D27EA5">
      <w:pPr>
        <w:spacing w:line="360" w:lineRule="auto"/>
        <w:rPr>
          <w:rFonts w:ascii="Times New Roman" w:hAnsi="Times New Roman" w:cs="Times New Roman"/>
          <w:b/>
          <w:bCs/>
          <w:sz w:val="24"/>
          <w:szCs w:val="24"/>
          <w:u w:val="single"/>
        </w:rPr>
      </w:pPr>
    </w:p>
    <w:p w:rsidR="00D27EA5" w:rsidRDefault="00E87FB7">
      <w:pPr>
        <w:numPr>
          <w:ilvl w:val="0"/>
          <w:numId w:val="5"/>
        </w:numPr>
        <w:spacing w:line="360" w:lineRule="auto"/>
        <w:rPr>
          <w:rFonts w:ascii="Times New Roman" w:hAnsi="Times New Roman" w:cs="Times New Roman"/>
          <w:b/>
          <w:bCs/>
          <w:sz w:val="24"/>
          <w:szCs w:val="24"/>
        </w:rPr>
      </w:pPr>
      <w:r>
        <w:rPr>
          <w:rFonts w:ascii="Times New Roman" w:hAnsi="Times New Roman" w:cs="Times New Roman"/>
          <w:b/>
          <w:bCs/>
          <w:sz w:val="24"/>
          <w:szCs w:val="24"/>
          <w:u w:val="single"/>
        </w:rPr>
        <w:t>Remedies and defenses to trespass to chattel</w:t>
      </w:r>
      <w:r>
        <w:rPr>
          <w:rFonts w:ascii="Times New Roman" w:hAnsi="Times New Roman" w:cs="Times New Roman"/>
          <w:b/>
          <w:bCs/>
          <w:sz w:val="24"/>
          <w:szCs w:val="24"/>
        </w:rPr>
        <w:t xml:space="preserve"> </w:t>
      </w:r>
    </w:p>
    <w:p w:rsidR="00D27EA5" w:rsidRDefault="00E87FB7">
      <w:pPr>
        <w:spacing w:line="360" w:lineRule="auto"/>
        <w:rPr>
          <w:rFonts w:ascii="Times New Roman" w:hAnsi="Times New Roman" w:cs="Times New Roman"/>
          <w:b/>
          <w:bCs/>
          <w:sz w:val="24"/>
          <w:szCs w:val="24"/>
        </w:rPr>
      </w:pPr>
      <w:r>
        <w:rPr>
          <w:rFonts w:ascii="Times New Roman" w:hAnsi="Times New Roman" w:cs="Times New Roman"/>
          <w:b/>
          <w:bCs/>
          <w:sz w:val="24"/>
          <w:szCs w:val="24"/>
        </w:rPr>
        <w:t>Remedies for trespass to chattel.</w:t>
      </w:r>
    </w:p>
    <w:p w:rsidR="00D27EA5" w:rsidRDefault="00E87FB7">
      <w:pPr>
        <w:spacing w:line="360" w:lineRule="auto"/>
        <w:rPr>
          <w:rFonts w:ascii="Times New Roman" w:hAnsi="Times New Roman" w:cs="Times New Roman"/>
          <w:sz w:val="24"/>
          <w:szCs w:val="24"/>
        </w:rPr>
      </w:pPr>
      <w:r>
        <w:rPr>
          <w:rFonts w:ascii="Times New Roman" w:hAnsi="Times New Roman" w:cs="Times New Roman"/>
          <w:sz w:val="24"/>
          <w:szCs w:val="24"/>
        </w:rPr>
        <w:t xml:space="preserve">The remedies available to a person whose chattel has been meddled with short of conversion or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are;</w:t>
      </w:r>
    </w:p>
    <w:p w:rsidR="00D27EA5" w:rsidRDefault="00E87FB7">
      <w:pPr>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Payment of dama</w:t>
      </w:r>
      <w:r>
        <w:rPr>
          <w:rFonts w:ascii="Times New Roman" w:hAnsi="Times New Roman" w:cs="Times New Roman"/>
          <w:sz w:val="24"/>
          <w:szCs w:val="24"/>
        </w:rPr>
        <w:t xml:space="preserve">ges </w:t>
      </w:r>
    </w:p>
    <w:p w:rsidR="00D27EA5" w:rsidRDefault="00E87FB7">
      <w:pPr>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Replacement of the chattel</w:t>
      </w:r>
    </w:p>
    <w:p w:rsidR="00D27EA5" w:rsidRDefault="00E87FB7">
      <w:pPr>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Payment of the market price of the chattel</w:t>
      </w:r>
    </w:p>
    <w:p w:rsidR="00D27EA5" w:rsidRDefault="00E87FB7">
      <w:pPr>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Repair of the damage.  </w:t>
      </w:r>
    </w:p>
    <w:p w:rsidR="00D27EA5" w:rsidRDefault="00E87FB7">
      <w:pPr>
        <w:spacing w:line="360" w:lineRule="auto"/>
        <w:rPr>
          <w:rFonts w:ascii="Times New Roman" w:hAnsi="Times New Roman" w:cs="Times New Roman"/>
          <w:sz w:val="24"/>
          <w:szCs w:val="24"/>
        </w:rPr>
      </w:pPr>
      <w:r>
        <w:rPr>
          <w:rFonts w:ascii="Times New Roman" w:hAnsi="Times New Roman" w:cs="Times New Roman"/>
          <w:sz w:val="24"/>
          <w:szCs w:val="24"/>
        </w:rPr>
        <w:t>A good example of these remedies is in motor accident cases, where one vehicle runs into another, damages may be paid or the parts of the vehicle that are af</w:t>
      </w:r>
      <w:r>
        <w:rPr>
          <w:rFonts w:ascii="Times New Roman" w:hAnsi="Times New Roman" w:cs="Times New Roman"/>
          <w:sz w:val="24"/>
          <w:szCs w:val="24"/>
        </w:rPr>
        <w:t>fected may be replaced or repaired.</w:t>
      </w:r>
    </w:p>
    <w:p w:rsidR="00D27EA5" w:rsidRDefault="00D27EA5">
      <w:pPr>
        <w:pStyle w:val="NormalWeb"/>
        <w:shd w:val="clear" w:color="auto" w:fill="FFFFFF"/>
        <w:spacing w:beforeAutospacing="0" w:after="420" w:afterAutospacing="0" w:line="360" w:lineRule="auto"/>
      </w:pPr>
    </w:p>
    <w:p w:rsidR="00D27EA5" w:rsidRDefault="00E87FB7">
      <w:pPr>
        <w:spacing w:line="360" w:lineRule="auto"/>
        <w:rPr>
          <w:rFonts w:ascii="Times New Roman" w:hAnsi="Times New Roman" w:cs="Times New Roman"/>
          <w:b/>
          <w:bCs/>
          <w:sz w:val="24"/>
          <w:szCs w:val="24"/>
        </w:rPr>
      </w:pPr>
      <w:r>
        <w:rPr>
          <w:rFonts w:ascii="Times New Roman" w:hAnsi="Times New Roman" w:cs="Times New Roman"/>
          <w:b/>
          <w:bCs/>
          <w:sz w:val="24"/>
          <w:szCs w:val="24"/>
        </w:rPr>
        <w:t>Differences between conversion and trespass</w:t>
      </w:r>
    </w:p>
    <w:p w:rsidR="00D27EA5" w:rsidRDefault="00E87FB7">
      <w:pPr>
        <w:spacing w:line="360" w:lineRule="auto"/>
        <w:rPr>
          <w:rFonts w:ascii="Times New Roman" w:hAnsi="Times New Roman" w:cs="Times New Roman"/>
          <w:sz w:val="24"/>
          <w:szCs w:val="24"/>
        </w:rPr>
      </w:pPr>
      <w:r>
        <w:rPr>
          <w:rFonts w:ascii="Times New Roman" w:hAnsi="Times New Roman" w:cs="Times New Roman"/>
          <w:sz w:val="24"/>
          <w:szCs w:val="24"/>
        </w:rPr>
        <w:t>Conversion is different from trespass to chattels in two main respects, these are;</w:t>
      </w:r>
    </w:p>
    <w:p w:rsidR="00D27EA5" w:rsidRDefault="00E87FB7">
      <w:pPr>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conversion, the conduct of the defendant must deprive the owners of the </w:t>
      </w:r>
      <w:r>
        <w:rPr>
          <w:rFonts w:ascii="Times New Roman" w:hAnsi="Times New Roman" w:cs="Times New Roman"/>
          <w:sz w:val="24"/>
          <w:szCs w:val="24"/>
        </w:rPr>
        <w:t>possession of the chattel, or amount to a denial or dispute of the title of the owner. Conversion is known as stealing or theft in criminal law, so therefore, mere touching of chattel and so forth only amount to trespass.</w:t>
      </w:r>
    </w:p>
    <w:p w:rsidR="00D27EA5" w:rsidRDefault="00E87FB7">
      <w:pPr>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To maintain an action in conversio</w:t>
      </w:r>
      <w:r>
        <w:rPr>
          <w:rFonts w:ascii="Times New Roman" w:hAnsi="Times New Roman" w:cs="Times New Roman"/>
          <w:sz w:val="24"/>
          <w:szCs w:val="24"/>
        </w:rPr>
        <w:t>n, the plaintiff need not be in actual possession of the chattel at the time of the interference. It is enough if the plaintiff has right to immediate possession of the chattel, that is, the right to demand for immediate possession of the chattel. The foll</w:t>
      </w:r>
      <w:r>
        <w:rPr>
          <w:rFonts w:ascii="Times New Roman" w:hAnsi="Times New Roman" w:cs="Times New Roman"/>
          <w:sz w:val="24"/>
          <w:szCs w:val="24"/>
        </w:rPr>
        <w:t>owing cases explained this point further through the decision of the court.</w:t>
      </w:r>
      <w:r>
        <w:rPr>
          <w:rFonts w:ascii="Times New Roman" w:hAnsi="Times New Roman" w:cs="Times New Roman"/>
          <w:b/>
          <w:bCs/>
          <w:sz w:val="24"/>
          <w:szCs w:val="24"/>
        </w:rPr>
        <w:t xml:space="preserve"> Ashby v. </w:t>
      </w:r>
      <w:proofErr w:type="spellStart"/>
      <w:r>
        <w:rPr>
          <w:rFonts w:ascii="Times New Roman" w:hAnsi="Times New Roman" w:cs="Times New Roman"/>
          <w:b/>
          <w:bCs/>
          <w:sz w:val="24"/>
          <w:szCs w:val="24"/>
        </w:rPr>
        <w:t>Tolhurst</w:t>
      </w:r>
      <w:proofErr w:type="spellEnd"/>
      <w:r>
        <w:rPr>
          <w:rFonts w:ascii="Times New Roman" w:hAnsi="Times New Roman" w:cs="Times New Roman"/>
          <w:b/>
          <w:bCs/>
          <w:sz w:val="24"/>
          <w:szCs w:val="24"/>
        </w:rPr>
        <w:t xml:space="preserve">, city motor properties ltd v. southern Aerial Service, </w:t>
      </w:r>
      <w:proofErr w:type="spellStart"/>
      <w:r>
        <w:rPr>
          <w:rFonts w:ascii="Times New Roman" w:hAnsi="Times New Roman" w:cs="Times New Roman"/>
          <w:b/>
          <w:bCs/>
          <w:sz w:val="24"/>
          <w:szCs w:val="24"/>
        </w:rPr>
        <w:t>Youl</w:t>
      </w:r>
      <w:proofErr w:type="spellEnd"/>
      <w:r>
        <w:rPr>
          <w:rFonts w:ascii="Times New Roman" w:hAnsi="Times New Roman" w:cs="Times New Roman"/>
          <w:b/>
          <w:bCs/>
          <w:sz w:val="24"/>
          <w:szCs w:val="24"/>
        </w:rPr>
        <w:t xml:space="preserve"> v. </w:t>
      </w:r>
      <w:proofErr w:type="spellStart"/>
      <w:r>
        <w:rPr>
          <w:rFonts w:ascii="Times New Roman" w:hAnsi="Times New Roman" w:cs="Times New Roman"/>
          <w:b/>
          <w:bCs/>
          <w:sz w:val="24"/>
          <w:szCs w:val="24"/>
        </w:rPr>
        <w:t>Harbottle</w:t>
      </w:r>
      <w:proofErr w:type="spellEnd"/>
      <w:r>
        <w:rPr>
          <w:rFonts w:ascii="Times New Roman" w:hAnsi="Times New Roman" w:cs="Times New Roman"/>
          <w:b/>
          <w:bCs/>
          <w:sz w:val="24"/>
          <w:szCs w:val="24"/>
        </w:rPr>
        <w:t xml:space="preserve">., consolidated co. Ltd v. </w:t>
      </w:r>
      <w:proofErr w:type="spellStart"/>
      <w:r>
        <w:rPr>
          <w:rFonts w:ascii="Times New Roman" w:hAnsi="Times New Roman" w:cs="Times New Roman"/>
          <w:b/>
          <w:bCs/>
          <w:sz w:val="24"/>
          <w:szCs w:val="24"/>
        </w:rPr>
        <w:t>curtis</w:t>
      </w:r>
      <w:proofErr w:type="spellEnd"/>
      <w:r>
        <w:rPr>
          <w:rFonts w:ascii="Times New Roman" w:hAnsi="Times New Roman" w:cs="Times New Roman"/>
          <w:b/>
          <w:bCs/>
          <w:sz w:val="24"/>
          <w:szCs w:val="24"/>
        </w:rPr>
        <w:t xml:space="preserve"> &amp; son., Adamson v. Jarvis.</w:t>
      </w:r>
    </w:p>
    <w:p w:rsidR="00D27EA5" w:rsidRDefault="00D27EA5">
      <w:pPr>
        <w:spacing w:line="360" w:lineRule="auto"/>
        <w:rPr>
          <w:rFonts w:ascii="Times New Roman" w:hAnsi="Times New Roman" w:cs="Times New Roman"/>
          <w:sz w:val="24"/>
          <w:szCs w:val="24"/>
        </w:rPr>
      </w:pPr>
    </w:p>
    <w:p w:rsidR="00D27EA5" w:rsidRDefault="00E87FB7">
      <w:pPr>
        <w:spacing w:line="360" w:lineRule="auto"/>
        <w:rPr>
          <w:rFonts w:ascii="Times New Roman" w:hAnsi="Times New Roman" w:cs="Times New Roman"/>
          <w:b/>
          <w:bCs/>
          <w:sz w:val="24"/>
          <w:szCs w:val="24"/>
        </w:rPr>
      </w:pPr>
      <w:proofErr w:type="spellStart"/>
      <w:r>
        <w:rPr>
          <w:rFonts w:ascii="Times New Roman" w:hAnsi="Times New Roman" w:cs="Times New Roman"/>
          <w:b/>
          <w:bCs/>
          <w:sz w:val="24"/>
          <w:szCs w:val="24"/>
        </w:rPr>
        <w:t>Detinue</w:t>
      </w:r>
      <w:proofErr w:type="spellEnd"/>
      <w:r>
        <w:rPr>
          <w:rFonts w:ascii="Times New Roman" w:hAnsi="Times New Roman" w:cs="Times New Roman"/>
          <w:b/>
          <w:bCs/>
          <w:sz w:val="24"/>
          <w:szCs w:val="24"/>
        </w:rPr>
        <w:t xml:space="preserve"> and what it entails</w:t>
      </w:r>
    </w:p>
    <w:p w:rsidR="00D27EA5" w:rsidRDefault="00E87FB7">
      <w:p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is a claim for the specific return, delivery, or surrender of a chattel to the plaintiff who is entitled to it.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is the wrong detention or retention of a chattel </w:t>
      </w:r>
      <w:r>
        <w:rPr>
          <w:rFonts w:ascii="Times New Roman" w:hAnsi="Times New Roman" w:cs="Times New Roman"/>
          <w:sz w:val="24"/>
          <w:szCs w:val="24"/>
        </w:rPr>
        <w:lastRenderedPageBreak/>
        <w:t>whereby the person entitled to it denied possession or use of it. Essentially,</w:t>
      </w:r>
      <w:r>
        <w:rPr>
          <w:rFonts w:ascii="Times New Roman" w:hAnsi="Times New Roman" w:cs="Times New Roman"/>
          <w:sz w:val="24"/>
          <w:szCs w:val="24"/>
        </w:rPr>
        <w:t xml:space="preserve"> the tort of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is;</w:t>
      </w:r>
      <w:r>
        <w:rPr>
          <w:rStyle w:val="FootnoteReference"/>
          <w:rFonts w:ascii="Times New Roman" w:hAnsi="Times New Roman" w:cs="Times New Roman"/>
          <w:sz w:val="24"/>
          <w:szCs w:val="24"/>
        </w:rPr>
        <w:footnoteReference w:customMarkFollows="1" w:id="10"/>
        <w:t>10</w:t>
      </w:r>
    </w:p>
    <w:p w:rsidR="00D27EA5" w:rsidRDefault="00E87FB7">
      <w:pPr>
        <w:numPr>
          <w:ilvl w:val="0"/>
          <w:numId w:val="8"/>
        </w:num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 xml:space="preserve">The wrongful detention of the chattel of another person. </w:t>
      </w:r>
    </w:p>
    <w:p w:rsidR="00D27EA5" w:rsidRDefault="00E87FB7">
      <w:pPr>
        <w:numPr>
          <w:ilvl w:val="0"/>
          <w:numId w:val="8"/>
        </w:num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 xml:space="preserve">The immediate possession of which the person is entitled. </w:t>
      </w:r>
    </w:p>
    <w:p w:rsidR="00D27EA5" w:rsidRDefault="00E87FB7">
      <w:pPr>
        <w:spacing w:line="360" w:lineRule="auto"/>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the person detaining the chattel of another person can be sued. In United Kingdom the tort of </w:t>
      </w:r>
      <w:proofErr w:type="spellStart"/>
      <w:r>
        <w:rPr>
          <w:rFonts w:ascii="Times New Roman" w:hAnsi="Times New Roman" w:cs="Times New Roman"/>
          <w:sz w:val="24"/>
          <w:szCs w:val="24"/>
        </w:rPr>
        <w:t>detin</w:t>
      </w:r>
      <w:r>
        <w:rPr>
          <w:rFonts w:ascii="Times New Roman" w:hAnsi="Times New Roman" w:cs="Times New Roman"/>
          <w:sz w:val="24"/>
          <w:szCs w:val="24"/>
        </w:rPr>
        <w:t>ue</w:t>
      </w:r>
      <w:proofErr w:type="spellEnd"/>
      <w:r>
        <w:rPr>
          <w:rFonts w:ascii="Times New Roman" w:hAnsi="Times New Roman" w:cs="Times New Roman"/>
          <w:sz w:val="24"/>
          <w:szCs w:val="24"/>
        </w:rPr>
        <w:t xml:space="preserve"> and the tort of conversion are not separated, it is called conversion of </w:t>
      </w:r>
      <w:proofErr w:type="spellStart"/>
      <w:r>
        <w:rPr>
          <w:rFonts w:ascii="Times New Roman" w:hAnsi="Times New Roman" w:cs="Times New Roman"/>
          <w:sz w:val="24"/>
          <w:szCs w:val="24"/>
        </w:rPr>
        <w:t>detimue</w:t>
      </w:r>
      <w:proofErr w:type="spellEnd"/>
      <w:r>
        <w:rPr>
          <w:rFonts w:ascii="Times New Roman" w:hAnsi="Times New Roman" w:cs="Times New Roman"/>
          <w:sz w:val="24"/>
          <w:szCs w:val="24"/>
        </w:rPr>
        <w:t>, but in Nigeria, it is being separated.</w:t>
      </w:r>
    </w:p>
    <w:p w:rsidR="00D27EA5" w:rsidRDefault="00D27EA5">
      <w:pPr>
        <w:pStyle w:val="NormalWeb"/>
        <w:shd w:val="clear" w:color="auto" w:fill="FFFFFF"/>
        <w:spacing w:beforeAutospacing="0" w:after="420" w:afterAutospacing="0" w:line="360" w:lineRule="auto"/>
      </w:pPr>
    </w:p>
    <w:p w:rsidR="00D27EA5" w:rsidRDefault="00D27EA5">
      <w:pPr>
        <w:spacing w:line="360" w:lineRule="auto"/>
        <w:rPr>
          <w:rFonts w:eastAsia="Georgia" w:cs="Times New Roman"/>
          <w:color w:val="111111"/>
          <w:sz w:val="24"/>
          <w:szCs w:val="24"/>
          <w:shd w:val="clear" w:color="auto" w:fill="FFFFFF"/>
        </w:rPr>
      </w:pPr>
    </w:p>
    <w:p w:rsidR="00D27EA5" w:rsidRDefault="00E87FB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D27EA5" w:rsidRDefault="00D27EA5">
      <w:pPr>
        <w:spacing w:line="360" w:lineRule="auto"/>
        <w:rPr>
          <w:rFonts w:ascii="Times New Roman" w:hAnsi="Times New Roman" w:cs="Times New Roman"/>
          <w:b/>
          <w:bCs/>
          <w:sz w:val="24"/>
          <w:szCs w:val="24"/>
        </w:rPr>
      </w:pPr>
    </w:p>
    <w:p w:rsidR="00D27EA5" w:rsidRDefault="00E87FB7">
      <w:pPr>
        <w:numPr>
          <w:ilvl w:val="0"/>
          <w:numId w:val="1"/>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Differences between conversion and </w:t>
      </w:r>
      <w:proofErr w:type="spellStart"/>
      <w:r>
        <w:rPr>
          <w:rFonts w:ascii="Times New Roman" w:hAnsi="Times New Roman" w:cs="Times New Roman"/>
          <w:b/>
          <w:bCs/>
          <w:sz w:val="24"/>
          <w:szCs w:val="24"/>
        </w:rPr>
        <w:t>detinue</w:t>
      </w:r>
      <w:proofErr w:type="spellEnd"/>
    </w:p>
    <w:p w:rsidR="00D27EA5" w:rsidRDefault="00D27EA5">
      <w:pPr>
        <w:spacing w:line="360" w:lineRule="auto"/>
        <w:rPr>
          <w:rFonts w:ascii="Times New Roman" w:hAnsi="Times New Roman" w:cs="Times New Roman"/>
          <w:sz w:val="24"/>
          <w:szCs w:val="24"/>
        </w:rPr>
      </w:pPr>
    </w:p>
    <w:p w:rsidR="00D27EA5" w:rsidRDefault="00E87FB7">
      <w:pPr>
        <w:numPr>
          <w:ilvl w:val="0"/>
          <w:numId w:val="9"/>
        </w:numPr>
        <w:shd w:val="clear" w:color="auto" w:fill="FFFFFF" w:themeFill="background1"/>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The differences between conversion and </w:t>
      </w:r>
      <w:proofErr w:type="spellStart"/>
      <w:r>
        <w:rPr>
          <w:rFonts w:ascii="Times New Roman" w:hAnsi="Times New Roman" w:cs="Times New Roman"/>
          <w:b/>
          <w:bCs/>
          <w:sz w:val="24"/>
          <w:szCs w:val="24"/>
          <w:u w:val="single"/>
        </w:rPr>
        <w:t>detinue</w:t>
      </w:r>
      <w:proofErr w:type="spellEnd"/>
    </w:p>
    <w:p w:rsidR="00D27EA5" w:rsidRDefault="00E87FB7">
      <w:p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covers the same ground as the tort of conversion by detention. However, some differences are to be noted here, which are as follows.</w:t>
      </w:r>
    </w:p>
    <w:p w:rsidR="00D27EA5" w:rsidRDefault="00E87FB7">
      <w:pPr>
        <w:numPr>
          <w:ilvl w:val="0"/>
          <w:numId w:val="10"/>
        </w:num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 xml:space="preserve">The refusal to surrender or return  chattel on demand is the essence of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or detention. There must have </w:t>
      </w:r>
      <w:r>
        <w:rPr>
          <w:rFonts w:ascii="Times New Roman" w:hAnsi="Times New Roman" w:cs="Times New Roman"/>
          <w:sz w:val="24"/>
          <w:szCs w:val="24"/>
        </w:rPr>
        <w:t>been a demand for return of the chattel.</w:t>
      </w:r>
    </w:p>
    <w:p w:rsidR="00D27EA5" w:rsidRDefault="00E87FB7">
      <w:pPr>
        <w:numPr>
          <w:ilvl w:val="0"/>
          <w:numId w:val="10"/>
        </w:numPr>
        <w:shd w:val="clear" w:color="auto" w:fill="FFFFFF" w:themeFill="background1"/>
        <w:spacing w:line="360" w:lineRule="auto"/>
        <w:rPr>
          <w:rFonts w:ascii="Times New Roman" w:hAnsi="Times New Roman" w:cs="Times New Roman"/>
          <w:sz w:val="24"/>
          <w:szCs w:val="24"/>
        </w:rPr>
      </w:pP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is the proper remedy where the plaintiff wants a return of the specific goods in question and not merely an assessed marked value.</w:t>
      </w:r>
    </w:p>
    <w:p w:rsidR="00D27EA5" w:rsidRDefault="00D27EA5">
      <w:pPr>
        <w:shd w:val="clear" w:color="auto" w:fill="FFFFFF" w:themeFill="background1"/>
        <w:spacing w:line="360" w:lineRule="auto"/>
        <w:rPr>
          <w:rFonts w:ascii="Times New Roman" w:hAnsi="Times New Roman" w:cs="Times New Roman"/>
          <w:sz w:val="24"/>
          <w:szCs w:val="24"/>
        </w:rPr>
      </w:pPr>
    </w:p>
    <w:p w:rsidR="00D27EA5" w:rsidRDefault="00E87FB7">
      <w:pPr>
        <w:rPr>
          <w:rFonts w:ascii="Times New Roman" w:hAnsi="Times New Roman" w:cs="Times New Roman"/>
          <w:b/>
          <w:bCs/>
          <w:sz w:val="32"/>
          <w:szCs w:val="32"/>
        </w:rPr>
      </w:pPr>
      <w:r>
        <w:rPr>
          <w:rFonts w:ascii="Times New Roman" w:hAnsi="Times New Roman" w:cs="Times New Roman"/>
          <w:b/>
          <w:bCs/>
          <w:sz w:val="32"/>
          <w:szCs w:val="32"/>
        </w:rPr>
        <w:t>References</w:t>
      </w:r>
    </w:p>
    <w:p w:rsidR="00D27EA5" w:rsidRDefault="00E87FB7">
      <w:pPr>
        <w:numPr>
          <w:ilvl w:val="0"/>
          <w:numId w:val="11"/>
        </w:numPr>
        <w:shd w:val="clear" w:color="auto" w:fill="FFFFFF" w:themeFill="background1"/>
        <w:spacing w:line="360" w:lineRule="auto"/>
        <w:rPr>
          <w:rFonts w:ascii="Times New Roman" w:hAnsi="Times New Roman" w:cs="Times New Roman"/>
          <w:sz w:val="24"/>
          <w:szCs w:val="24"/>
        </w:rPr>
      </w:pPr>
      <w:proofErr w:type="spellStart"/>
      <w:r>
        <w:rPr>
          <w:rFonts w:ascii="Times New Roman" w:hAnsi="Times New Roman" w:cs="Times New Roman"/>
          <w:sz w:val="24"/>
          <w:szCs w:val="24"/>
        </w:rPr>
        <w:t>Kodilinye</w:t>
      </w:r>
      <w:proofErr w:type="spellEnd"/>
      <w:r>
        <w:rPr>
          <w:rFonts w:ascii="Times New Roman" w:hAnsi="Times New Roman" w:cs="Times New Roman"/>
          <w:sz w:val="24"/>
          <w:szCs w:val="24"/>
        </w:rPr>
        <w:t xml:space="preserve"> and Alison, The Nigeria Law Of Torts Spectrum law publ</w:t>
      </w:r>
      <w:r>
        <w:rPr>
          <w:rFonts w:ascii="Times New Roman" w:hAnsi="Times New Roman" w:cs="Times New Roman"/>
          <w:sz w:val="24"/>
          <w:szCs w:val="24"/>
        </w:rPr>
        <w:t>ishing, 1999) 195</w:t>
      </w:r>
    </w:p>
    <w:p w:rsidR="00D27EA5" w:rsidRDefault="00E87FB7">
      <w:pPr>
        <w:numPr>
          <w:ilvl w:val="0"/>
          <w:numId w:val="11"/>
        </w:numPr>
        <w:shd w:val="clear" w:color="auto" w:fill="FFFFFF" w:themeFill="background1"/>
        <w:spacing w:line="360" w:lineRule="auto"/>
        <w:rPr>
          <w:rFonts w:ascii="Times New Roman" w:hAnsi="Times New Roman" w:cs="Times New Roman"/>
          <w:sz w:val="24"/>
          <w:szCs w:val="24"/>
        </w:rPr>
      </w:pPr>
      <w:proofErr w:type="spellStart"/>
      <w:r>
        <w:rPr>
          <w:rFonts w:ascii="Times New Roman" w:hAnsi="Times New Roman" w:cs="Times New Roman"/>
          <w:sz w:val="24"/>
          <w:szCs w:val="24"/>
        </w:rPr>
        <w:t>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malemi</w:t>
      </w:r>
      <w:proofErr w:type="spellEnd"/>
      <w:r>
        <w:rPr>
          <w:rFonts w:ascii="Times New Roman" w:hAnsi="Times New Roman" w:cs="Times New Roman"/>
          <w:sz w:val="24"/>
          <w:szCs w:val="24"/>
        </w:rPr>
        <w:t xml:space="preserve">; law of tort, fourth edition, </w:t>
      </w:r>
    </w:p>
    <w:p w:rsidR="00D27EA5" w:rsidRDefault="00D27EA5">
      <w:pPr>
        <w:rPr>
          <w:rFonts w:ascii="Times New Roman" w:hAnsi="Times New Roman" w:cs="Times New Roman"/>
          <w:sz w:val="24"/>
          <w:szCs w:val="24"/>
        </w:rPr>
      </w:pPr>
    </w:p>
    <w:sectPr w:rsidR="00D27EA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E87FB7">
      <w:r>
        <w:separator/>
      </w:r>
    </w:p>
  </w:endnote>
  <w:endnote w:type="continuationSeparator" w:id="0">
    <w:p w:rsidR="00000000" w:rsidRDefault="00E8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E87FB7">
      <w:r>
        <w:separator/>
      </w:r>
    </w:p>
  </w:footnote>
  <w:footnote w:type="continuationSeparator" w:id="0">
    <w:p w:rsidR="00000000" w:rsidRDefault="00E87FB7">
      <w:r>
        <w:continuationSeparator/>
      </w:r>
    </w:p>
  </w:footnote>
  <w:footnote w:id="1">
    <w:p w:rsidR="00D27EA5" w:rsidRDefault="00E87FB7">
      <w:pPr>
        <w:pStyle w:val="FootnoteText"/>
      </w:pPr>
      <w:r>
        <w:rPr>
          <w:rStyle w:val="FootnoteReference"/>
        </w:rPr>
        <w:t>1</w:t>
      </w:r>
      <w:r>
        <w:t xml:space="preserve"> </w:t>
      </w:r>
      <w:proofErr w:type="spellStart"/>
      <w:r>
        <w:t>Ese</w:t>
      </w:r>
      <w:proofErr w:type="spellEnd"/>
      <w:r>
        <w:t xml:space="preserve"> </w:t>
      </w:r>
      <w:proofErr w:type="spellStart"/>
      <w:r>
        <w:t>Malemi</w:t>
      </w:r>
      <w:proofErr w:type="spellEnd"/>
      <w:r>
        <w:t>; law of tort. Fourth edition. Page 210.</w:t>
      </w:r>
    </w:p>
  </w:footnote>
  <w:footnote w:id="2">
    <w:p w:rsidR="00D27EA5" w:rsidRDefault="00E87FB7">
      <w:pPr>
        <w:pStyle w:val="FootnoteText"/>
      </w:pPr>
      <w:r>
        <w:rPr>
          <w:rStyle w:val="FootnoteReference"/>
        </w:rPr>
        <w:t>2</w:t>
      </w:r>
      <w:r>
        <w:t xml:space="preserve"> </w:t>
      </w:r>
      <w:r>
        <w:t>ibid</w:t>
      </w:r>
    </w:p>
  </w:footnote>
  <w:footnote w:id="3">
    <w:p w:rsidR="00D27EA5" w:rsidRDefault="00E87FB7">
      <w:pPr>
        <w:pStyle w:val="FootnoteText"/>
      </w:pPr>
      <w:r>
        <w:rPr>
          <w:rStyle w:val="FootnoteReference"/>
        </w:rPr>
        <w:t>3</w:t>
      </w:r>
      <w:r>
        <w:t xml:space="preserve"> </w:t>
      </w:r>
      <w:r>
        <w:t>ibid</w:t>
      </w:r>
    </w:p>
  </w:footnote>
  <w:footnote w:id="4">
    <w:p w:rsidR="00D27EA5" w:rsidRDefault="00E87FB7">
      <w:pPr>
        <w:pStyle w:val="FootnoteText"/>
      </w:pPr>
      <w:r>
        <w:rPr>
          <w:rStyle w:val="FootnoteReference"/>
        </w:rPr>
        <w:t>4</w:t>
      </w:r>
      <w:r>
        <w:t xml:space="preserve"> </w:t>
      </w:r>
      <w:r>
        <w:rPr>
          <w:rStyle w:val="FootnoteReference"/>
        </w:rPr>
        <w:t>5</w:t>
      </w:r>
      <w:r>
        <w:t xml:space="preserve"> </w:t>
      </w:r>
      <w:r>
        <w:t>ESE MALEMI, Law of tort; 4</w:t>
      </w:r>
      <w:r>
        <w:rPr>
          <w:vertAlign w:val="superscript"/>
        </w:rPr>
        <w:t>th</w:t>
      </w:r>
      <w:r>
        <w:t xml:space="preserve"> edition, page 211</w:t>
      </w:r>
    </w:p>
  </w:footnote>
  <w:footnote w:id="5">
    <w:p w:rsidR="00D27EA5" w:rsidRDefault="00E87FB7">
      <w:pPr>
        <w:pStyle w:val="FootnoteText"/>
      </w:pPr>
      <w:r>
        <w:rPr>
          <w:rStyle w:val="FootnoteReference"/>
        </w:rPr>
        <w:t>5</w:t>
      </w:r>
      <w:r>
        <w:t xml:space="preserve">  </w:t>
      </w:r>
      <w:r>
        <w:t>(1950) 1 All ER 780</w:t>
      </w:r>
    </w:p>
  </w:footnote>
  <w:footnote w:id="6">
    <w:p w:rsidR="00D27EA5" w:rsidRDefault="00E87FB7">
      <w:pPr>
        <w:pStyle w:val="FootnoteText"/>
      </w:pPr>
      <w:r>
        <w:rPr>
          <w:rStyle w:val="FootnoteReference"/>
        </w:rPr>
        <w:t>6</w:t>
      </w:r>
      <w:r>
        <w:t xml:space="preserve">  </w:t>
      </w:r>
      <w:r>
        <w:t>(1982) 1 All ER 834 CA.</w:t>
      </w:r>
    </w:p>
  </w:footnote>
  <w:footnote w:id="7">
    <w:p w:rsidR="00D27EA5" w:rsidRDefault="00E87FB7">
      <w:pPr>
        <w:pStyle w:val="FootnoteText"/>
      </w:pPr>
      <w:r>
        <w:rPr>
          <w:rStyle w:val="FootnoteReference"/>
        </w:rPr>
        <w:t>7</w:t>
      </w:r>
      <w:r>
        <w:t xml:space="preserve"> </w:t>
      </w:r>
      <w:r>
        <w:t xml:space="preserve">(1851) 21 </w:t>
      </w:r>
      <w:proofErr w:type="spellStart"/>
      <w:r>
        <w:t>Lj</w:t>
      </w:r>
      <w:proofErr w:type="spellEnd"/>
      <w:r>
        <w:t xml:space="preserve"> QB 75.</w:t>
      </w:r>
    </w:p>
    <w:p w:rsidR="00D27EA5" w:rsidRDefault="00D27EA5">
      <w:pPr>
        <w:pStyle w:val="FootnoteText"/>
      </w:pPr>
    </w:p>
  </w:footnote>
  <w:footnote w:id="8">
    <w:p w:rsidR="00D27EA5" w:rsidRDefault="00E87FB7">
      <w:pPr>
        <w:pStyle w:val="FootnoteText"/>
      </w:pPr>
      <w:r>
        <w:rPr>
          <w:rStyle w:val="FootnoteReference"/>
        </w:rPr>
        <w:t>8</w:t>
      </w:r>
      <w:r>
        <w:t xml:space="preserve"> </w:t>
      </w:r>
      <w:r>
        <w:t>(1896) 2 QB 44</w:t>
      </w:r>
    </w:p>
  </w:footnote>
  <w:footnote w:id="9">
    <w:p w:rsidR="00D27EA5" w:rsidRDefault="00E87FB7">
      <w:pPr>
        <w:pStyle w:val="FootnoteText"/>
      </w:pPr>
      <w:r>
        <w:rPr>
          <w:rStyle w:val="FootnoteReference"/>
        </w:rPr>
        <w:t>9</w:t>
      </w:r>
      <w:r>
        <w:t xml:space="preserve">  </w:t>
      </w:r>
      <w:r>
        <w:t xml:space="preserve">(1886) 33 </w:t>
      </w:r>
      <w:proofErr w:type="spellStart"/>
      <w:r>
        <w:t>Ch</w:t>
      </w:r>
      <w:proofErr w:type="spellEnd"/>
      <w:r>
        <w:t xml:space="preserve"> D 562</w:t>
      </w:r>
    </w:p>
    <w:p w:rsidR="00D27EA5" w:rsidRDefault="00D27EA5">
      <w:pPr>
        <w:pStyle w:val="FootnoteText"/>
      </w:pPr>
    </w:p>
  </w:footnote>
  <w:footnote w:id="10">
    <w:p w:rsidR="00D27EA5" w:rsidRDefault="00E87FB7">
      <w:pPr>
        <w:pStyle w:val="FootnoteText"/>
      </w:pPr>
      <w:r>
        <w:rPr>
          <w:rStyle w:val="FootnoteReference"/>
        </w:rPr>
        <w:t>10</w:t>
      </w:r>
      <w:r>
        <w:rPr>
          <w:rFonts w:ascii="Times New Roman" w:hAnsi="Times New Roman" w:cs="Times New Roman"/>
          <w:sz w:val="20"/>
          <w:szCs w:val="20"/>
        </w:rPr>
        <w:t xml:space="preserve">Kodilinye and Alison, The Nigeria Law Of Torts </w:t>
      </w:r>
      <w:proofErr w:type="spellStart"/>
      <w:r>
        <w:rPr>
          <w:rFonts w:ascii="Times New Roman" w:hAnsi="Times New Roman" w:cs="Times New Roman"/>
          <w:sz w:val="20"/>
          <w:szCs w:val="20"/>
        </w:rPr>
        <w:t>pg</w:t>
      </w:r>
      <w:proofErr w:type="spellEnd"/>
      <w:r>
        <w:rPr>
          <w:rFonts w:ascii="Times New Roman" w:hAnsi="Times New Roman" w:cs="Times New Roman"/>
          <w:sz w:val="20"/>
          <w:szCs w:val="20"/>
        </w:rPr>
        <w:t xml:space="preserve"> 235</w:t>
      </w:r>
      <w:r>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96119E"/>
    <w:multiLevelType w:val="singleLevel"/>
    <w:tmpl w:val="8696119E"/>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A193AD01"/>
    <w:multiLevelType w:val="singleLevel"/>
    <w:tmpl w:val="A193AD01"/>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AC833475"/>
    <w:multiLevelType w:val="singleLevel"/>
    <w:tmpl w:val="AC833475"/>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B1DBA562"/>
    <w:multiLevelType w:val="singleLevel"/>
    <w:tmpl w:val="B1DBA562"/>
    <w:lvl w:ilvl="0">
      <w:start w:val="1"/>
      <w:numFmt w:val="decimal"/>
      <w:suff w:val="space"/>
      <w:lvlText w:val="%1."/>
      <w:lvlJc w:val="left"/>
    </w:lvl>
  </w:abstractNum>
  <w:abstractNum w:abstractNumId="4" w15:restartNumberingAfterBreak="0">
    <w:nsid w:val="BE0555BC"/>
    <w:multiLevelType w:val="singleLevel"/>
    <w:tmpl w:val="BE0555BC"/>
    <w:lvl w:ilvl="0">
      <w:start w:val="1"/>
      <w:numFmt w:val="decimal"/>
      <w:suff w:val="space"/>
      <w:lvlText w:val="%1."/>
      <w:lvlJc w:val="left"/>
    </w:lvl>
  </w:abstractNum>
  <w:abstractNum w:abstractNumId="5" w15:restartNumberingAfterBreak="0">
    <w:nsid w:val="DF8D0BF4"/>
    <w:multiLevelType w:val="singleLevel"/>
    <w:tmpl w:val="DF8D0BF4"/>
    <w:lvl w:ilvl="0">
      <w:start w:val="1"/>
      <w:numFmt w:val="decimal"/>
      <w:suff w:val="space"/>
      <w:lvlText w:val="%1."/>
      <w:lvlJc w:val="left"/>
    </w:lvl>
  </w:abstractNum>
  <w:abstractNum w:abstractNumId="6" w15:restartNumberingAfterBreak="0">
    <w:nsid w:val="E09C039C"/>
    <w:multiLevelType w:val="singleLevel"/>
    <w:tmpl w:val="E09C039C"/>
    <w:lvl w:ilvl="0">
      <w:start w:val="1"/>
      <w:numFmt w:val="decimal"/>
      <w:suff w:val="space"/>
      <w:lvlText w:val="%1."/>
      <w:lvlJc w:val="left"/>
    </w:lvl>
  </w:abstractNum>
  <w:abstractNum w:abstractNumId="7" w15:restartNumberingAfterBreak="0">
    <w:nsid w:val="EFA8C731"/>
    <w:multiLevelType w:val="singleLevel"/>
    <w:tmpl w:val="EFA8C731"/>
    <w:lvl w:ilvl="0">
      <w:start w:val="1"/>
      <w:numFmt w:val="decimal"/>
      <w:suff w:val="space"/>
      <w:lvlText w:val="%1."/>
      <w:lvlJc w:val="left"/>
    </w:lvl>
  </w:abstractNum>
  <w:abstractNum w:abstractNumId="8" w15:restartNumberingAfterBreak="0">
    <w:nsid w:val="08795CE7"/>
    <w:multiLevelType w:val="singleLevel"/>
    <w:tmpl w:val="08795CE7"/>
    <w:lvl w:ilvl="0">
      <w:start w:val="1"/>
      <w:numFmt w:val="decimal"/>
      <w:suff w:val="space"/>
      <w:lvlText w:val="%1."/>
      <w:lvlJc w:val="left"/>
    </w:lvl>
  </w:abstractNum>
  <w:abstractNum w:abstractNumId="9" w15:restartNumberingAfterBreak="0">
    <w:nsid w:val="0EACD4B1"/>
    <w:multiLevelType w:val="singleLevel"/>
    <w:tmpl w:val="0EACD4B1"/>
    <w:lvl w:ilvl="0">
      <w:start w:val="1"/>
      <w:numFmt w:val="bullet"/>
      <w:lvlText w:val=""/>
      <w:lvlJc w:val="left"/>
      <w:pPr>
        <w:tabs>
          <w:tab w:val="left" w:pos="420"/>
        </w:tabs>
        <w:ind w:left="420" w:hanging="420"/>
      </w:pPr>
      <w:rPr>
        <w:rFonts w:ascii="Wingdings" w:hAnsi="Wingdings" w:hint="default"/>
      </w:rPr>
    </w:lvl>
  </w:abstractNum>
  <w:abstractNum w:abstractNumId="10" w15:restartNumberingAfterBreak="0">
    <w:nsid w:val="6E7AD315"/>
    <w:multiLevelType w:val="singleLevel"/>
    <w:tmpl w:val="6E7AD315"/>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7"/>
  </w:num>
  <w:num w:numId="3">
    <w:abstractNumId w:val="9"/>
  </w:num>
  <w:num w:numId="4">
    <w:abstractNumId w:val="5"/>
  </w:num>
  <w:num w:numId="5">
    <w:abstractNumId w:val="10"/>
  </w:num>
  <w:num w:numId="6">
    <w:abstractNumId w:val="3"/>
  </w:num>
  <w:num w:numId="7">
    <w:abstractNumId w:val="4"/>
  </w:num>
  <w:num w:numId="8">
    <w:abstractNumId w:val="6"/>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1552A54"/>
    <w:rsid w:val="005E73CD"/>
    <w:rsid w:val="00D27EA5"/>
    <w:rsid w:val="00E87FB7"/>
    <w:rsid w:val="01552A54"/>
    <w:rsid w:val="04C92AC5"/>
    <w:rsid w:val="09742C8C"/>
    <w:rsid w:val="0DA8175A"/>
    <w:rsid w:val="0E27697C"/>
    <w:rsid w:val="0EF77652"/>
    <w:rsid w:val="2CBC10BD"/>
    <w:rsid w:val="308B141F"/>
    <w:rsid w:val="30F26FD3"/>
    <w:rsid w:val="325E7729"/>
    <w:rsid w:val="381A6476"/>
    <w:rsid w:val="4E1D51B7"/>
    <w:rsid w:val="4E8A2F4F"/>
    <w:rsid w:val="51A14F90"/>
    <w:rsid w:val="565018D3"/>
    <w:rsid w:val="570A5E47"/>
    <w:rsid w:val="5C147A4A"/>
    <w:rsid w:val="64FD7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A77CDF28-20E5-FA45-83A5-5274A6F0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pPr>
      <w:snapToGrid w:val="0"/>
    </w:pPr>
    <w:rPr>
      <w:sz w:val="18"/>
      <w:szCs w:val="18"/>
    </w:rPr>
  </w:style>
  <w:style w:type="paragraph" w:styleId="NormalWeb">
    <w:name w:val="Normal (Web)"/>
    <w:qFormat/>
    <w:pPr>
      <w:spacing w:beforeAutospacing="1" w:afterAutospacing="1"/>
    </w:pPr>
    <w:rPr>
      <w:sz w:val="24"/>
      <w:szCs w:val="24"/>
      <w:lang w:val="en-US" w:eastAsia="zh-CN"/>
    </w:rPr>
  </w:style>
  <w:style w:type="character" w:styleId="FootnoteReference">
    <w:name w:val="footnote reference"/>
    <w:basedOn w:val="DefaultParagraphFont"/>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1614</Words>
  <Characters>7701</Characters>
  <Application>Microsoft Office Word</Application>
  <DocSecurity>0</DocSecurity>
  <Lines>64</Lines>
  <Paragraphs>18</Paragraphs>
  <ScaleCrop>false</ScaleCrop>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Aoluwaseyi127@gmail.com</cp:lastModifiedBy>
  <cp:revision>2</cp:revision>
  <dcterms:created xsi:type="dcterms:W3CDTF">2021-01-27T17:35:00Z</dcterms:created>
  <dcterms:modified xsi:type="dcterms:W3CDTF">2021-01-27T17:35:00Z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