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2D15" w14:textId="099898B9" w:rsidR="00114634" w:rsidRDefault="00220288" w:rsidP="0011463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</w:t>
      </w:r>
      <w:r w:rsidR="00C44C29">
        <w:rPr>
          <w:b/>
          <w:bCs/>
          <w:sz w:val="56"/>
          <w:szCs w:val="56"/>
        </w:rPr>
        <w:t>AME – OKOROAFOR UNIQUEFAVOUR CHIDINMA</w:t>
      </w:r>
    </w:p>
    <w:p w14:paraId="3E27A5BB" w14:textId="120DDD70" w:rsidR="00C44C29" w:rsidRDefault="00C44C29" w:rsidP="00114634">
      <w:pPr>
        <w:rPr>
          <w:b/>
          <w:bCs/>
          <w:sz w:val="56"/>
          <w:szCs w:val="56"/>
        </w:rPr>
      </w:pPr>
    </w:p>
    <w:p w14:paraId="38F4D7BF" w14:textId="25986F64" w:rsidR="00C44C29" w:rsidRDefault="00C44C29" w:rsidP="0011463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MATRIC NO- 18/LAW01/177</w:t>
      </w:r>
    </w:p>
    <w:p w14:paraId="5633A04A" w14:textId="024A0A24" w:rsidR="00C44C29" w:rsidRDefault="00C44C29" w:rsidP="00114634">
      <w:pPr>
        <w:rPr>
          <w:b/>
          <w:bCs/>
          <w:sz w:val="56"/>
          <w:szCs w:val="56"/>
        </w:rPr>
      </w:pPr>
    </w:p>
    <w:p w14:paraId="6D73B29C" w14:textId="35A7082A" w:rsidR="00C44C29" w:rsidRDefault="00C44C29" w:rsidP="0011463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COURSE CODE-</w:t>
      </w:r>
      <w:r w:rsidR="00E80D62">
        <w:rPr>
          <w:b/>
          <w:bCs/>
          <w:sz w:val="56"/>
          <w:szCs w:val="56"/>
        </w:rPr>
        <w:t xml:space="preserve"> LPB 301</w:t>
      </w:r>
    </w:p>
    <w:p w14:paraId="63F109E0" w14:textId="3114AF51" w:rsidR="00E80D62" w:rsidRDefault="00E80D62" w:rsidP="00114634">
      <w:pPr>
        <w:rPr>
          <w:b/>
          <w:bCs/>
          <w:sz w:val="56"/>
          <w:szCs w:val="56"/>
        </w:rPr>
      </w:pPr>
    </w:p>
    <w:p w14:paraId="01968135" w14:textId="51310D28" w:rsidR="00E80D62" w:rsidRDefault="00E80D62" w:rsidP="00114634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COURSE- LAW OF TORTS 1</w:t>
      </w:r>
    </w:p>
    <w:p w14:paraId="61D28F0C" w14:textId="65C69F31" w:rsidR="00E80D62" w:rsidRDefault="00E80D62" w:rsidP="00114634">
      <w:pPr>
        <w:rPr>
          <w:b/>
          <w:bCs/>
          <w:sz w:val="56"/>
          <w:szCs w:val="56"/>
        </w:rPr>
      </w:pPr>
    </w:p>
    <w:p w14:paraId="0FD600DB" w14:textId="3BAA3A7A" w:rsidR="00E80D62" w:rsidRDefault="00E80D62" w:rsidP="00114634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QUESTION</w:t>
      </w:r>
    </w:p>
    <w:p w14:paraId="0C9236DC" w14:textId="2F6F9C91" w:rsidR="00E80D62" w:rsidRDefault="00BB3851" w:rsidP="001146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tort of trespass to chattel is made of trespass to </w:t>
      </w:r>
      <w:r w:rsidR="00186CE1">
        <w:rPr>
          <w:b/>
          <w:bCs/>
          <w:sz w:val="32"/>
          <w:szCs w:val="32"/>
        </w:rPr>
        <w:t xml:space="preserve">chattel, conversion and detinue. Discuss </w:t>
      </w:r>
      <w:r w:rsidR="006808FE">
        <w:rPr>
          <w:b/>
          <w:bCs/>
          <w:sz w:val="32"/>
          <w:szCs w:val="32"/>
        </w:rPr>
        <w:t>the above and support with case law.</w:t>
      </w:r>
    </w:p>
    <w:p w14:paraId="67D63340" w14:textId="1F791085" w:rsidR="002C60F4" w:rsidRDefault="002C60F4" w:rsidP="00114634">
      <w:pPr>
        <w:rPr>
          <w:b/>
          <w:bCs/>
          <w:sz w:val="32"/>
          <w:szCs w:val="32"/>
        </w:rPr>
      </w:pPr>
    </w:p>
    <w:p w14:paraId="027B71DF" w14:textId="54CC2A4A" w:rsidR="002C60F4" w:rsidRDefault="002C60F4" w:rsidP="00114634">
      <w:pPr>
        <w:rPr>
          <w:b/>
          <w:bCs/>
          <w:sz w:val="32"/>
          <w:szCs w:val="32"/>
        </w:rPr>
      </w:pPr>
    </w:p>
    <w:p w14:paraId="377F2E28" w14:textId="251A73C6" w:rsidR="002C60F4" w:rsidRDefault="002C60F4" w:rsidP="00114634">
      <w:pPr>
        <w:rPr>
          <w:b/>
          <w:bCs/>
          <w:sz w:val="32"/>
          <w:szCs w:val="32"/>
        </w:rPr>
      </w:pPr>
    </w:p>
    <w:p w14:paraId="02D83219" w14:textId="3B06A147" w:rsidR="002C60F4" w:rsidRDefault="002C60F4" w:rsidP="00114634">
      <w:pPr>
        <w:rPr>
          <w:b/>
          <w:bCs/>
          <w:sz w:val="32"/>
          <w:szCs w:val="32"/>
        </w:rPr>
      </w:pPr>
    </w:p>
    <w:p w14:paraId="0866037B" w14:textId="4CA03244" w:rsidR="002C60F4" w:rsidRDefault="002C60F4" w:rsidP="00114634">
      <w:pPr>
        <w:rPr>
          <w:b/>
          <w:bCs/>
          <w:sz w:val="32"/>
          <w:szCs w:val="32"/>
        </w:rPr>
      </w:pPr>
    </w:p>
    <w:p w14:paraId="28305817" w14:textId="1940D084" w:rsidR="002C60F4" w:rsidRDefault="002C60F4" w:rsidP="00114634">
      <w:pPr>
        <w:rPr>
          <w:b/>
          <w:bCs/>
          <w:sz w:val="32"/>
          <w:szCs w:val="32"/>
        </w:rPr>
      </w:pPr>
    </w:p>
    <w:p w14:paraId="146D19B0" w14:textId="584D17CD" w:rsidR="005A6E7F" w:rsidRDefault="002C60F4" w:rsidP="00D762D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ANSWER</w:t>
      </w:r>
    </w:p>
    <w:p w14:paraId="45D4B3DB" w14:textId="2601A151" w:rsidR="00D72EE6" w:rsidRDefault="0087392A" w:rsidP="00D762D2">
      <w:pPr>
        <w:rPr>
          <w:sz w:val="32"/>
          <w:szCs w:val="32"/>
        </w:rPr>
      </w:pPr>
      <w:r>
        <w:rPr>
          <w:sz w:val="32"/>
          <w:szCs w:val="32"/>
        </w:rPr>
        <w:t>This question bothers on the tort of trespass to chattel</w:t>
      </w:r>
      <w:r w:rsidR="00D72EE6">
        <w:rPr>
          <w:sz w:val="32"/>
          <w:szCs w:val="32"/>
        </w:rPr>
        <w:t xml:space="preserve">, conversion and detinue. Before discussing the main point of this topic this writer will </w:t>
      </w:r>
      <w:r w:rsidR="00845756">
        <w:rPr>
          <w:sz w:val="32"/>
          <w:szCs w:val="32"/>
        </w:rPr>
        <w:t xml:space="preserve">firstly explain the tort of </w:t>
      </w:r>
      <w:r w:rsidR="00700DED">
        <w:rPr>
          <w:sz w:val="32"/>
          <w:szCs w:val="32"/>
        </w:rPr>
        <w:t>trespass to chattel</w:t>
      </w:r>
      <w:r w:rsidR="006D7E36">
        <w:rPr>
          <w:sz w:val="32"/>
          <w:szCs w:val="32"/>
        </w:rPr>
        <w:t xml:space="preserve"> an </w:t>
      </w:r>
      <w:r w:rsidR="00DC61C8">
        <w:rPr>
          <w:sz w:val="32"/>
          <w:szCs w:val="32"/>
        </w:rPr>
        <w:t xml:space="preserve">also </w:t>
      </w:r>
      <w:r w:rsidR="006D7E36">
        <w:rPr>
          <w:sz w:val="32"/>
          <w:szCs w:val="32"/>
        </w:rPr>
        <w:t>explain the meaning of chattel.</w:t>
      </w:r>
    </w:p>
    <w:p w14:paraId="4D70DEDC" w14:textId="4ABEA350" w:rsidR="006D7E36" w:rsidRDefault="004E01A4" w:rsidP="004E01A4">
      <w:pPr>
        <w:rPr>
          <w:sz w:val="32"/>
          <w:szCs w:val="32"/>
        </w:rPr>
      </w:pPr>
      <w:r>
        <w:rPr>
          <w:rStyle w:val="FootnoteReference"/>
          <w:sz w:val="32"/>
          <w:szCs w:val="32"/>
        </w:rPr>
        <w:footnoteReference w:id="2"/>
      </w:r>
      <w:r w:rsidR="00C573C9" w:rsidRPr="004E01A4">
        <w:rPr>
          <w:sz w:val="32"/>
          <w:szCs w:val="32"/>
        </w:rPr>
        <w:t xml:space="preserve">A chattel in simple terms is </w:t>
      </w:r>
      <w:r w:rsidR="00990E89" w:rsidRPr="004E01A4">
        <w:rPr>
          <w:sz w:val="32"/>
          <w:szCs w:val="32"/>
        </w:rPr>
        <w:t xml:space="preserve">any property other than land and immovable </w:t>
      </w:r>
      <w:r w:rsidRPr="004E01A4">
        <w:rPr>
          <w:sz w:val="32"/>
          <w:szCs w:val="32"/>
        </w:rPr>
        <w:t>property</w:t>
      </w:r>
      <w:r w:rsidR="00B428B8">
        <w:rPr>
          <w:sz w:val="32"/>
          <w:szCs w:val="32"/>
        </w:rPr>
        <w:t>.</w:t>
      </w:r>
      <w:r w:rsidR="00626AF6">
        <w:rPr>
          <w:sz w:val="32"/>
          <w:szCs w:val="32"/>
        </w:rPr>
        <w:t xml:space="preserve"> Also, according to Oxford Dictionary a </w:t>
      </w:r>
      <w:r w:rsidR="00606EFE">
        <w:rPr>
          <w:rStyle w:val="FootnoteReference"/>
          <w:sz w:val="32"/>
          <w:szCs w:val="32"/>
        </w:rPr>
        <w:footnoteReference w:id="3"/>
      </w:r>
      <w:r w:rsidR="00626AF6">
        <w:rPr>
          <w:sz w:val="32"/>
          <w:szCs w:val="32"/>
        </w:rPr>
        <w:t>chattel is</w:t>
      </w:r>
      <w:r w:rsidR="00403CBD">
        <w:rPr>
          <w:sz w:val="32"/>
          <w:szCs w:val="32"/>
        </w:rPr>
        <w:t xml:space="preserve"> an item of property other than</w:t>
      </w:r>
      <w:r w:rsidR="003309FE">
        <w:rPr>
          <w:sz w:val="32"/>
          <w:szCs w:val="32"/>
        </w:rPr>
        <w:t xml:space="preserve"> freehold land including tangible goods</w:t>
      </w:r>
      <w:r w:rsidR="00541E43">
        <w:rPr>
          <w:sz w:val="32"/>
          <w:szCs w:val="32"/>
        </w:rPr>
        <w:t xml:space="preserve"> and leasehold interest</w:t>
      </w:r>
      <w:r w:rsidR="00606EFE">
        <w:rPr>
          <w:sz w:val="32"/>
          <w:szCs w:val="32"/>
        </w:rPr>
        <w:t>.</w:t>
      </w:r>
      <w:r w:rsidR="00790621">
        <w:rPr>
          <w:sz w:val="32"/>
          <w:szCs w:val="32"/>
        </w:rPr>
        <w:t xml:space="preserve"> There are many examples of chattel </w:t>
      </w:r>
      <w:r w:rsidR="003E5594">
        <w:rPr>
          <w:sz w:val="32"/>
          <w:szCs w:val="32"/>
        </w:rPr>
        <w:t xml:space="preserve"> and they are; Animal, car, vessel,</w:t>
      </w:r>
      <w:r w:rsidR="00FB18B9">
        <w:rPr>
          <w:sz w:val="32"/>
          <w:szCs w:val="32"/>
        </w:rPr>
        <w:t xml:space="preserve"> Sea craft. </w:t>
      </w:r>
      <w:r w:rsidR="001438C3">
        <w:rPr>
          <w:sz w:val="32"/>
          <w:szCs w:val="32"/>
        </w:rPr>
        <w:t>Etc.</w:t>
      </w:r>
      <w:r w:rsidR="00FB18B9">
        <w:rPr>
          <w:sz w:val="32"/>
          <w:szCs w:val="32"/>
        </w:rPr>
        <w:t xml:space="preserve"> </w:t>
      </w:r>
      <w:r w:rsidR="001438C3">
        <w:rPr>
          <w:sz w:val="32"/>
          <w:szCs w:val="32"/>
        </w:rPr>
        <w:t>For better understanding it</w:t>
      </w:r>
      <w:r w:rsidR="00994AEE">
        <w:rPr>
          <w:sz w:val="32"/>
          <w:szCs w:val="32"/>
        </w:rPr>
        <w:t xml:space="preserve"> is also </w:t>
      </w:r>
      <w:r w:rsidR="001438C3">
        <w:rPr>
          <w:sz w:val="32"/>
          <w:szCs w:val="32"/>
        </w:rPr>
        <w:t xml:space="preserve">necessary </w:t>
      </w:r>
      <w:r w:rsidR="00994AEE">
        <w:rPr>
          <w:sz w:val="32"/>
          <w:szCs w:val="32"/>
        </w:rPr>
        <w:t xml:space="preserve">to know the definition of trespass and this writer will go further to explain the </w:t>
      </w:r>
      <w:r w:rsidR="00795B68">
        <w:rPr>
          <w:sz w:val="32"/>
          <w:szCs w:val="32"/>
        </w:rPr>
        <w:t>meaning of trespass</w:t>
      </w:r>
      <w:r w:rsidR="00A2758E">
        <w:rPr>
          <w:sz w:val="32"/>
          <w:szCs w:val="32"/>
        </w:rPr>
        <w:t>..</w:t>
      </w:r>
      <w:r w:rsidR="00FA2D75">
        <w:rPr>
          <w:sz w:val="32"/>
          <w:szCs w:val="32"/>
        </w:rPr>
        <w:t xml:space="preserve"> Trespass is the act of knowingly </w:t>
      </w:r>
      <w:r w:rsidR="00F01600">
        <w:rPr>
          <w:sz w:val="32"/>
          <w:szCs w:val="32"/>
        </w:rPr>
        <w:t>entering another person's property without permission</w:t>
      </w:r>
      <w:r w:rsidR="001E0D00">
        <w:rPr>
          <w:sz w:val="32"/>
          <w:szCs w:val="32"/>
        </w:rPr>
        <w:t>.</w:t>
      </w:r>
    </w:p>
    <w:p w14:paraId="2B8DF50B" w14:textId="254537FA" w:rsidR="00895F87" w:rsidRDefault="00CF05EF" w:rsidP="004E01A4">
      <w:pPr>
        <w:rPr>
          <w:sz w:val="32"/>
          <w:szCs w:val="32"/>
        </w:rPr>
      </w:pPr>
      <w:r>
        <w:rPr>
          <w:sz w:val="32"/>
          <w:szCs w:val="32"/>
        </w:rPr>
        <w:t>Furthermore,</w:t>
      </w:r>
      <w:r w:rsidR="002E2A16">
        <w:rPr>
          <w:sz w:val="32"/>
          <w:szCs w:val="32"/>
        </w:rPr>
        <w:t xml:space="preserve"> </w:t>
      </w:r>
      <w:r w:rsidR="001473B5">
        <w:rPr>
          <w:sz w:val="32"/>
          <w:szCs w:val="32"/>
        </w:rPr>
        <w:t xml:space="preserve">this writer will explain the tort of trespass to </w:t>
      </w:r>
      <w:r w:rsidR="00C87B2B">
        <w:rPr>
          <w:sz w:val="32"/>
          <w:szCs w:val="32"/>
        </w:rPr>
        <w:t xml:space="preserve">chattel, detinue destiny and conversion. </w:t>
      </w:r>
      <w:r w:rsidR="00757CFA">
        <w:rPr>
          <w:sz w:val="32"/>
          <w:szCs w:val="32"/>
        </w:rPr>
        <w:t xml:space="preserve">Trespass to chattel is the intentional </w:t>
      </w:r>
      <w:r w:rsidR="001F01EE">
        <w:rPr>
          <w:sz w:val="32"/>
          <w:szCs w:val="32"/>
        </w:rPr>
        <w:t xml:space="preserve">interference with the </w:t>
      </w:r>
      <w:r w:rsidR="00E06175">
        <w:rPr>
          <w:sz w:val="32"/>
          <w:szCs w:val="32"/>
        </w:rPr>
        <w:t>possession</w:t>
      </w:r>
      <w:r w:rsidR="0018281F">
        <w:rPr>
          <w:sz w:val="32"/>
          <w:szCs w:val="32"/>
        </w:rPr>
        <w:t xml:space="preserve"> of the chattel of another </w:t>
      </w:r>
      <w:r w:rsidR="00920BCA">
        <w:rPr>
          <w:sz w:val="32"/>
          <w:szCs w:val="32"/>
        </w:rPr>
        <w:t xml:space="preserve">person. It is designed to protect </w:t>
      </w:r>
      <w:r w:rsidR="00FF7D4D">
        <w:rPr>
          <w:sz w:val="32"/>
          <w:szCs w:val="32"/>
        </w:rPr>
        <w:t>possession.</w:t>
      </w:r>
      <w:r w:rsidR="007E246B">
        <w:rPr>
          <w:sz w:val="32"/>
          <w:szCs w:val="32"/>
        </w:rPr>
        <w:t xml:space="preserve"> In simple terms trespass </w:t>
      </w:r>
      <w:r w:rsidR="00035252">
        <w:rPr>
          <w:sz w:val="32"/>
          <w:szCs w:val="32"/>
        </w:rPr>
        <w:t>to person</w:t>
      </w:r>
      <w:r w:rsidR="007E246B">
        <w:rPr>
          <w:sz w:val="32"/>
          <w:szCs w:val="32"/>
        </w:rPr>
        <w:t xml:space="preserve"> is the </w:t>
      </w:r>
      <w:r w:rsidR="003A57A3">
        <w:rPr>
          <w:sz w:val="32"/>
          <w:szCs w:val="32"/>
        </w:rPr>
        <w:t xml:space="preserve">use of property without the permission of the </w:t>
      </w:r>
      <w:r w:rsidR="00895F87">
        <w:rPr>
          <w:sz w:val="32"/>
          <w:szCs w:val="32"/>
        </w:rPr>
        <w:t xml:space="preserve">owner. </w:t>
      </w:r>
      <w:r w:rsidR="00ED1439">
        <w:rPr>
          <w:sz w:val="32"/>
          <w:szCs w:val="32"/>
        </w:rPr>
        <w:t xml:space="preserve">The tort of </w:t>
      </w:r>
      <w:r w:rsidR="002A3D99">
        <w:rPr>
          <w:sz w:val="32"/>
          <w:szCs w:val="32"/>
        </w:rPr>
        <w:t>conversion</w:t>
      </w:r>
      <w:r w:rsidR="000E625C">
        <w:rPr>
          <w:sz w:val="32"/>
          <w:szCs w:val="32"/>
        </w:rPr>
        <w:t xml:space="preserve"> means interfering </w:t>
      </w:r>
      <w:r w:rsidR="00152E5B">
        <w:rPr>
          <w:sz w:val="32"/>
          <w:szCs w:val="32"/>
        </w:rPr>
        <w:t xml:space="preserve">with the chattel of another person which illegally </w:t>
      </w:r>
      <w:r w:rsidR="0035068D">
        <w:rPr>
          <w:sz w:val="32"/>
          <w:szCs w:val="32"/>
        </w:rPr>
        <w:t xml:space="preserve">deprived the person of title or possession or use of it. Examples of conversion </w:t>
      </w:r>
      <w:r w:rsidR="00942CBA">
        <w:rPr>
          <w:sz w:val="32"/>
          <w:szCs w:val="32"/>
        </w:rPr>
        <w:t>include wrongful detention</w:t>
      </w:r>
      <w:r w:rsidR="00EF5606">
        <w:rPr>
          <w:sz w:val="32"/>
          <w:szCs w:val="32"/>
        </w:rPr>
        <w:t>, wrongful taking, etc.</w:t>
      </w:r>
      <w:r w:rsidR="008F545C">
        <w:rPr>
          <w:sz w:val="32"/>
          <w:szCs w:val="32"/>
        </w:rPr>
        <w:t xml:space="preserve"> The tort of detinue can be defined as </w:t>
      </w:r>
      <w:r w:rsidR="002E76D4">
        <w:rPr>
          <w:sz w:val="32"/>
          <w:szCs w:val="32"/>
        </w:rPr>
        <w:t>the wrongful detention of goods.</w:t>
      </w:r>
      <w:r w:rsidR="003172A6">
        <w:rPr>
          <w:sz w:val="32"/>
          <w:szCs w:val="32"/>
        </w:rPr>
        <w:t xml:space="preserve"> </w:t>
      </w:r>
      <w:r w:rsidR="00575044">
        <w:rPr>
          <w:sz w:val="32"/>
          <w:szCs w:val="32"/>
        </w:rPr>
        <w:t>It</w:t>
      </w:r>
      <w:r w:rsidR="003172A6">
        <w:rPr>
          <w:sz w:val="32"/>
          <w:szCs w:val="32"/>
        </w:rPr>
        <w:t xml:space="preserve"> can also simply be defined as </w:t>
      </w:r>
      <w:r w:rsidR="00044A7F">
        <w:rPr>
          <w:rStyle w:val="FootnoteReference"/>
          <w:sz w:val="32"/>
          <w:szCs w:val="32"/>
        </w:rPr>
        <w:footnoteReference w:id="4"/>
      </w:r>
      <w:r w:rsidR="003172A6">
        <w:rPr>
          <w:sz w:val="32"/>
          <w:szCs w:val="32"/>
        </w:rPr>
        <w:t>the</w:t>
      </w:r>
      <w:r w:rsidR="00B62E3B">
        <w:rPr>
          <w:sz w:val="32"/>
          <w:szCs w:val="32"/>
        </w:rPr>
        <w:t xml:space="preserve"> common law action </w:t>
      </w:r>
      <w:r w:rsidR="00BF5285">
        <w:rPr>
          <w:sz w:val="32"/>
          <w:szCs w:val="32"/>
        </w:rPr>
        <w:t xml:space="preserve">for the recovery </w:t>
      </w:r>
      <w:r w:rsidR="00291855">
        <w:rPr>
          <w:sz w:val="32"/>
          <w:szCs w:val="32"/>
        </w:rPr>
        <w:t>of a personal chattel wrongfully detained.</w:t>
      </w:r>
    </w:p>
    <w:p w14:paraId="56A95EA5" w14:textId="654D6E5C" w:rsidR="00D05CC0" w:rsidRDefault="00D0698D" w:rsidP="004E01A4">
      <w:pPr>
        <w:rPr>
          <w:sz w:val="32"/>
          <w:szCs w:val="32"/>
        </w:rPr>
      </w:pPr>
      <w:r>
        <w:rPr>
          <w:sz w:val="32"/>
          <w:szCs w:val="32"/>
        </w:rPr>
        <w:t xml:space="preserve">Going further this writer will mention the elements of each of </w:t>
      </w:r>
      <w:r w:rsidR="00377C77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tort mentioned above </w:t>
      </w:r>
      <w:r w:rsidR="00896CD1">
        <w:rPr>
          <w:sz w:val="32"/>
          <w:szCs w:val="32"/>
        </w:rPr>
        <w:t xml:space="preserve">starting with trespass to chattel next to conversion and finally detinue. </w:t>
      </w:r>
    </w:p>
    <w:p w14:paraId="40E9DC0F" w14:textId="3D08E8F6" w:rsidR="00896CD1" w:rsidRDefault="00CC43E9" w:rsidP="004E01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a plaintiff to succeed </w:t>
      </w:r>
      <w:r w:rsidR="00B42719">
        <w:rPr>
          <w:sz w:val="32"/>
          <w:szCs w:val="32"/>
        </w:rPr>
        <w:t xml:space="preserve">there are certain things that needs to be </w:t>
      </w:r>
      <w:r w:rsidR="00194D72">
        <w:rPr>
          <w:sz w:val="32"/>
          <w:szCs w:val="32"/>
        </w:rPr>
        <w:t xml:space="preserve">established and those things are called the elements of trespass to chattel. </w:t>
      </w:r>
      <w:r w:rsidR="00657DCF">
        <w:rPr>
          <w:sz w:val="32"/>
          <w:szCs w:val="32"/>
        </w:rPr>
        <w:t>There are t</w:t>
      </w:r>
      <w:r w:rsidR="00F017C7">
        <w:rPr>
          <w:sz w:val="32"/>
          <w:szCs w:val="32"/>
        </w:rPr>
        <w:t xml:space="preserve">hree </w:t>
      </w:r>
      <w:r w:rsidR="00657DCF">
        <w:rPr>
          <w:sz w:val="32"/>
          <w:szCs w:val="32"/>
        </w:rPr>
        <w:t xml:space="preserve">elements of trespass </w:t>
      </w:r>
      <w:r w:rsidR="00064B0D">
        <w:rPr>
          <w:sz w:val="32"/>
          <w:szCs w:val="32"/>
        </w:rPr>
        <w:t>to</w:t>
      </w:r>
      <w:r w:rsidR="00657DCF">
        <w:rPr>
          <w:sz w:val="32"/>
          <w:szCs w:val="32"/>
        </w:rPr>
        <w:t xml:space="preserve"> chattel and</w:t>
      </w:r>
      <w:r w:rsidR="00F017C7">
        <w:rPr>
          <w:sz w:val="32"/>
          <w:szCs w:val="32"/>
        </w:rPr>
        <w:t xml:space="preserve"> they are;</w:t>
      </w:r>
    </w:p>
    <w:p w14:paraId="19DDEC8D" w14:textId="6D8D99D3" w:rsidR="00F017C7" w:rsidRDefault="00F61BB4" w:rsidP="00F017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rStyle w:val="FootnoteReference"/>
          <w:sz w:val="32"/>
          <w:szCs w:val="32"/>
        </w:rPr>
        <w:footnoteReference w:id="5"/>
      </w:r>
      <w:r w:rsidR="004521DC">
        <w:rPr>
          <w:sz w:val="32"/>
          <w:szCs w:val="32"/>
        </w:rPr>
        <w:t xml:space="preserve">Lack of consent- </w:t>
      </w:r>
      <w:r w:rsidR="00486716">
        <w:rPr>
          <w:sz w:val="32"/>
          <w:szCs w:val="32"/>
        </w:rPr>
        <w:t>There must be an illegal interference</w:t>
      </w:r>
      <w:r w:rsidR="00942AFF">
        <w:rPr>
          <w:sz w:val="32"/>
          <w:szCs w:val="32"/>
        </w:rPr>
        <w:t>. This means that’s the trespasser did not get permission from the owner of the property</w:t>
      </w:r>
      <w:r w:rsidR="004774E4">
        <w:rPr>
          <w:sz w:val="32"/>
          <w:szCs w:val="32"/>
        </w:rPr>
        <w:t>.</w:t>
      </w:r>
    </w:p>
    <w:p w14:paraId="3F87C236" w14:textId="299E2B3A" w:rsidR="00ED5737" w:rsidRDefault="001F7AF8" w:rsidP="0013528B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Intention- One only needs to prove that the   defendant intended to trespass. </w:t>
      </w:r>
      <w:r w:rsidR="00ED5737">
        <w:rPr>
          <w:sz w:val="32"/>
          <w:szCs w:val="32"/>
        </w:rPr>
        <w:t xml:space="preserve">Intention- </w:t>
      </w:r>
      <w:r w:rsidR="00961E7E">
        <w:rPr>
          <w:sz w:val="32"/>
          <w:szCs w:val="32"/>
        </w:rPr>
        <w:t xml:space="preserve">One only needs to prove that </w:t>
      </w:r>
      <w:r w:rsidR="002D3911">
        <w:rPr>
          <w:sz w:val="32"/>
          <w:szCs w:val="32"/>
        </w:rPr>
        <w:t xml:space="preserve">the </w:t>
      </w:r>
      <w:r w:rsidR="000E1E9F">
        <w:rPr>
          <w:sz w:val="32"/>
          <w:szCs w:val="32"/>
        </w:rPr>
        <w:t xml:space="preserve"> </w:t>
      </w:r>
      <w:r w:rsidR="009D7C51">
        <w:rPr>
          <w:sz w:val="32"/>
          <w:szCs w:val="32"/>
        </w:rPr>
        <w:t xml:space="preserve"> </w:t>
      </w:r>
      <w:r w:rsidR="000E1E9F">
        <w:rPr>
          <w:sz w:val="32"/>
          <w:szCs w:val="32"/>
        </w:rPr>
        <w:t xml:space="preserve"> </w:t>
      </w:r>
      <w:r w:rsidR="00961E7E">
        <w:rPr>
          <w:sz w:val="32"/>
          <w:szCs w:val="32"/>
        </w:rPr>
        <w:t xml:space="preserve"> defendant </w:t>
      </w:r>
      <w:r w:rsidR="00A01FC1">
        <w:rPr>
          <w:sz w:val="32"/>
          <w:szCs w:val="32"/>
        </w:rPr>
        <w:t>intended to trespass. The plaintiff does not need to prove actual harm.</w:t>
      </w:r>
    </w:p>
    <w:p w14:paraId="42C29CDA" w14:textId="668FAD0A" w:rsidR="001B37B2" w:rsidRDefault="001B37B2" w:rsidP="001B37B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Negligence</w:t>
      </w:r>
    </w:p>
    <w:p w14:paraId="1CC2AA31" w14:textId="46FF00F8" w:rsidR="00377C77" w:rsidRDefault="00467BEC" w:rsidP="00377C77">
      <w:pPr>
        <w:rPr>
          <w:sz w:val="32"/>
          <w:szCs w:val="32"/>
        </w:rPr>
      </w:pPr>
      <w:r>
        <w:rPr>
          <w:sz w:val="32"/>
          <w:szCs w:val="32"/>
        </w:rPr>
        <w:t>Next this writer will proceed to the elements of the tort of detinue.</w:t>
      </w:r>
      <w:r w:rsidR="00324EFC">
        <w:rPr>
          <w:sz w:val="32"/>
          <w:szCs w:val="32"/>
        </w:rPr>
        <w:t xml:space="preserve"> There are some </w:t>
      </w:r>
      <w:r w:rsidR="005224FD">
        <w:rPr>
          <w:sz w:val="32"/>
          <w:szCs w:val="32"/>
        </w:rPr>
        <w:t xml:space="preserve">things that need to established for a plaintiff </w:t>
      </w:r>
      <w:r w:rsidR="007137D0">
        <w:rPr>
          <w:sz w:val="32"/>
          <w:szCs w:val="32"/>
        </w:rPr>
        <w:t>to succeed in a claim for detinue</w:t>
      </w:r>
      <w:r w:rsidR="00B377E6">
        <w:rPr>
          <w:sz w:val="32"/>
          <w:szCs w:val="32"/>
        </w:rPr>
        <w:t xml:space="preserve"> and those elements are:</w:t>
      </w:r>
    </w:p>
    <w:p w14:paraId="3FD50D26" w14:textId="7BF7AD4F" w:rsidR="00B377E6" w:rsidRDefault="001B0C38" w:rsidP="00B377E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rStyle w:val="FootnoteReference"/>
          <w:sz w:val="32"/>
          <w:szCs w:val="32"/>
        </w:rPr>
        <w:footnoteReference w:id="6"/>
      </w:r>
      <w:r w:rsidR="00F12BC7">
        <w:rPr>
          <w:sz w:val="32"/>
          <w:szCs w:val="32"/>
        </w:rPr>
        <w:t>Make a demand</w:t>
      </w:r>
      <w:r w:rsidR="00675752">
        <w:rPr>
          <w:sz w:val="32"/>
          <w:szCs w:val="32"/>
        </w:rPr>
        <w:t xml:space="preserve">- </w:t>
      </w:r>
      <w:r w:rsidR="00656CAE">
        <w:rPr>
          <w:sz w:val="32"/>
          <w:szCs w:val="32"/>
        </w:rPr>
        <w:t>This means that</w:t>
      </w:r>
      <w:r w:rsidR="00F77DC3">
        <w:rPr>
          <w:sz w:val="32"/>
          <w:szCs w:val="32"/>
        </w:rPr>
        <w:t xml:space="preserve"> the plaintiff ought to make a demand for the chattel </w:t>
      </w:r>
      <w:r w:rsidR="00A43955">
        <w:rPr>
          <w:sz w:val="32"/>
          <w:szCs w:val="32"/>
        </w:rPr>
        <w:t>to be returned</w:t>
      </w:r>
      <w:r w:rsidR="00D252BE">
        <w:rPr>
          <w:sz w:val="32"/>
          <w:szCs w:val="32"/>
        </w:rPr>
        <w:t>.</w:t>
      </w:r>
    </w:p>
    <w:p w14:paraId="3A5988DA" w14:textId="15061F43" w:rsidR="00F12BC7" w:rsidRDefault="00F12BC7" w:rsidP="00B377E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Refuse a demand</w:t>
      </w:r>
      <w:r w:rsidR="008B449F">
        <w:rPr>
          <w:sz w:val="32"/>
          <w:szCs w:val="32"/>
        </w:rPr>
        <w:t>- it must be established that the plaintiff refused the demand</w:t>
      </w:r>
      <w:r w:rsidR="00D252BE">
        <w:rPr>
          <w:sz w:val="32"/>
          <w:szCs w:val="32"/>
        </w:rPr>
        <w:t>.</w:t>
      </w:r>
    </w:p>
    <w:p w14:paraId="76DD193A" w14:textId="376220C6" w:rsidR="00F12BC7" w:rsidRDefault="00AF10B3" w:rsidP="00B377E6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Unreasonable </w:t>
      </w:r>
      <w:r w:rsidR="00D60A87">
        <w:rPr>
          <w:sz w:val="32"/>
          <w:szCs w:val="32"/>
        </w:rPr>
        <w:t>Refusal</w:t>
      </w:r>
      <w:r w:rsidR="008B449F">
        <w:rPr>
          <w:sz w:val="32"/>
          <w:szCs w:val="32"/>
        </w:rPr>
        <w:t xml:space="preserve">- </w:t>
      </w:r>
      <w:r w:rsidR="000E1E9F">
        <w:rPr>
          <w:sz w:val="32"/>
          <w:szCs w:val="32"/>
        </w:rPr>
        <w:t>In a situation where the defendant is in possession of the chattel</w:t>
      </w:r>
      <w:r w:rsidR="00D252BE">
        <w:rPr>
          <w:sz w:val="32"/>
          <w:szCs w:val="32"/>
        </w:rPr>
        <w:t>, the refusal to return the chattel must be unreasonable.</w:t>
      </w:r>
    </w:p>
    <w:p w14:paraId="764DA71F" w14:textId="09421E3E" w:rsidR="00220288" w:rsidRPr="00220288" w:rsidRDefault="00D60A87" w:rsidP="00220288">
      <w:pPr>
        <w:pStyle w:val="ListParagraph"/>
        <w:numPr>
          <w:ilvl w:val="1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Consequential damage</w:t>
      </w:r>
      <w:r w:rsidR="009D7C51">
        <w:rPr>
          <w:sz w:val="32"/>
          <w:szCs w:val="32"/>
        </w:rPr>
        <w:t xml:space="preserve">- </w:t>
      </w:r>
      <w:r w:rsidR="00220288">
        <w:rPr>
          <w:sz w:val="32"/>
          <w:szCs w:val="32"/>
        </w:rPr>
        <w:t xml:space="preserve">That as a result of he defendants action the </w:t>
      </w:r>
      <w:r w:rsidR="0071074B">
        <w:rPr>
          <w:sz w:val="32"/>
          <w:szCs w:val="32"/>
        </w:rPr>
        <w:t xml:space="preserve">plaintiff </w:t>
      </w:r>
      <w:r w:rsidR="00220288">
        <w:rPr>
          <w:sz w:val="32"/>
          <w:szCs w:val="32"/>
        </w:rPr>
        <w:t>suffered loss.</w:t>
      </w:r>
    </w:p>
    <w:p w14:paraId="4DF5A4FC" w14:textId="492B60D6" w:rsidR="001B37B2" w:rsidRDefault="00CE38FD" w:rsidP="001B37B2">
      <w:pPr>
        <w:rPr>
          <w:sz w:val="32"/>
          <w:szCs w:val="32"/>
        </w:rPr>
      </w:pPr>
      <w:r>
        <w:rPr>
          <w:sz w:val="32"/>
          <w:szCs w:val="32"/>
        </w:rPr>
        <w:t>In continuation this writer will now list the elements of the tort of conversion.</w:t>
      </w:r>
      <w:r w:rsidR="004E1FE4">
        <w:rPr>
          <w:sz w:val="32"/>
          <w:szCs w:val="32"/>
        </w:rPr>
        <w:t xml:space="preserve"> </w:t>
      </w:r>
      <w:r w:rsidR="001013E1">
        <w:rPr>
          <w:sz w:val="32"/>
          <w:szCs w:val="32"/>
        </w:rPr>
        <w:t>The elements are:</w:t>
      </w:r>
    </w:p>
    <w:p w14:paraId="202EDEB1" w14:textId="50BB694B" w:rsidR="001013E1" w:rsidRDefault="00581B59" w:rsidP="001013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Style w:val="FootnoteReference"/>
          <w:sz w:val="32"/>
          <w:szCs w:val="32"/>
        </w:rPr>
        <w:footnoteReference w:id="7"/>
      </w:r>
      <w:r w:rsidR="001013E1">
        <w:rPr>
          <w:sz w:val="32"/>
          <w:szCs w:val="32"/>
        </w:rPr>
        <w:t xml:space="preserve">Intention to convert </w:t>
      </w:r>
    </w:p>
    <w:p w14:paraId="165C966D" w14:textId="490C4B3B" w:rsidR="001013E1" w:rsidRDefault="00261BB5" w:rsidP="001013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That the plaintiff owns</w:t>
      </w:r>
      <w:r w:rsidR="00A4345F">
        <w:rPr>
          <w:sz w:val="32"/>
          <w:szCs w:val="32"/>
        </w:rPr>
        <w:t xml:space="preserve"> the property in question at the time of the interference</w:t>
      </w:r>
    </w:p>
    <w:p w14:paraId="77AF00C1" w14:textId="29D3C99B" w:rsidR="00A4345F" w:rsidRDefault="00F03AB9" w:rsidP="001013E1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interference denied the plaintiff of</w:t>
      </w:r>
      <w:r w:rsidR="004D36E9">
        <w:rPr>
          <w:sz w:val="32"/>
          <w:szCs w:val="32"/>
        </w:rPr>
        <w:t xml:space="preserve"> use of personal property.</w:t>
      </w:r>
    </w:p>
    <w:p w14:paraId="4E91DCE7" w14:textId="1F0CCE08" w:rsidR="00DA5E3F" w:rsidRDefault="004F4B4D" w:rsidP="00DA5E3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That the interference causes damage to the plaintiff</w:t>
      </w:r>
      <w:r w:rsidR="00DA5E3F">
        <w:rPr>
          <w:sz w:val="32"/>
          <w:szCs w:val="32"/>
        </w:rPr>
        <w:t>.</w:t>
      </w:r>
    </w:p>
    <w:p w14:paraId="4948C393" w14:textId="60DCCC5D" w:rsidR="00DA5E3F" w:rsidRDefault="00744C19" w:rsidP="00DA5E3F">
      <w:pPr>
        <w:rPr>
          <w:sz w:val="32"/>
          <w:szCs w:val="32"/>
        </w:rPr>
      </w:pPr>
      <w:r>
        <w:rPr>
          <w:sz w:val="32"/>
          <w:szCs w:val="32"/>
        </w:rPr>
        <w:t xml:space="preserve">Furthermore ,the this writer will briefly explain </w:t>
      </w:r>
      <w:r w:rsidR="00FE68CF">
        <w:rPr>
          <w:sz w:val="32"/>
          <w:szCs w:val="32"/>
        </w:rPr>
        <w:t>the</w:t>
      </w:r>
      <w:r>
        <w:rPr>
          <w:sz w:val="32"/>
          <w:szCs w:val="32"/>
        </w:rPr>
        <w:t xml:space="preserve"> concept of innocent delivery or receipt</w:t>
      </w:r>
      <w:r w:rsidR="00FE68CF">
        <w:rPr>
          <w:sz w:val="32"/>
          <w:szCs w:val="32"/>
        </w:rPr>
        <w:t xml:space="preserve">. </w:t>
      </w:r>
      <w:r w:rsidR="00F373A9">
        <w:rPr>
          <w:rStyle w:val="FootnoteReference"/>
          <w:sz w:val="32"/>
          <w:szCs w:val="32"/>
        </w:rPr>
        <w:footnoteReference w:id="8"/>
      </w:r>
      <w:r w:rsidR="00FE68CF">
        <w:rPr>
          <w:sz w:val="32"/>
          <w:szCs w:val="32"/>
        </w:rPr>
        <w:t>It is paramount to firstly understand that innocent delivery is not a tort or a criminal offence</w:t>
      </w:r>
      <w:r w:rsidR="00A6412A">
        <w:rPr>
          <w:sz w:val="32"/>
          <w:szCs w:val="32"/>
        </w:rPr>
        <w:t xml:space="preserve"> nor is it conversion. This concept of innocent delivery occurs where an innocent carrier receives goods in good faith from a person he believes to have lawful possession of them and he delivers them</w:t>
      </w:r>
      <w:r w:rsidR="006D6C68">
        <w:rPr>
          <w:sz w:val="32"/>
          <w:szCs w:val="32"/>
        </w:rPr>
        <w:t xml:space="preserve">. </w:t>
      </w:r>
      <w:r w:rsidR="005134A8">
        <w:rPr>
          <w:sz w:val="32"/>
          <w:szCs w:val="32"/>
        </w:rPr>
        <w:t xml:space="preserve">It is important to know that the receiver must not </w:t>
      </w:r>
      <w:r w:rsidR="00624467">
        <w:rPr>
          <w:sz w:val="32"/>
          <w:szCs w:val="32"/>
        </w:rPr>
        <w:t xml:space="preserve">wilfully </w:t>
      </w:r>
      <w:r w:rsidR="005134A8">
        <w:rPr>
          <w:sz w:val="32"/>
          <w:szCs w:val="32"/>
        </w:rPr>
        <w:t xml:space="preserve"> damage the goods unless it constitutes a nuisance.</w:t>
      </w:r>
      <w:r w:rsidR="00624467">
        <w:rPr>
          <w:sz w:val="32"/>
          <w:szCs w:val="32"/>
        </w:rPr>
        <w:t xml:space="preserve"> In relation to this concept the case of </w:t>
      </w:r>
      <w:r w:rsidR="00805997">
        <w:rPr>
          <w:rStyle w:val="FootnoteReference"/>
          <w:sz w:val="32"/>
          <w:szCs w:val="32"/>
        </w:rPr>
        <w:footnoteReference w:id="9"/>
      </w:r>
      <w:r w:rsidR="00624467">
        <w:rPr>
          <w:sz w:val="32"/>
          <w:szCs w:val="32"/>
        </w:rPr>
        <w:t>Unipetrol v prima tankers</w:t>
      </w:r>
      <w:r w:rsidR="00E436DF">
        <w:rPr>
          <w:sz w:val="32"/>
          <w:szCs w:val="32"/>
        </w:rPr>
        <w:t>.</w:t>
      </w:r>
    </w:p>
    <w:p w14:paraId="6C9F028F" w14:textId="59212B82" w:rsidR="001F5FAB" w:rsidRDefault="00B0239A" w:rsidP="00DA5E3F">
      <w:pPr>
        <w:rPr>
          <w:sz w:val="32"/>
          <w:szCs w:val="32"/>
        </w:rPr>
      </w:pPr>
      <w:r>
        <w:rPr>
          <w:sz w:val="32"/>
          <w:szCs w:val="32"/>
        </w:rPr>
        <w:t xml:space="preserve">Under the tort of conversion there are rules regarding finding lost property and this writer will briefly explain. </w:t>
      </w:r>
      <w:r w:rsidR="005854DA">
        <w:rPr>
          <w:sz w:val="32"/>
          <w:szCs w:val="32"/>
        </w:rPr>
        <w:t>The case of Parker v British Airways propounded these rules</w:t>
      </w:r>
      <w:r w:rsidR="008F06A1">
        <w:rPr>
          <w:sz w:val="32"/>
          <w:szCs w:val="32"/>
        </w:rPr>
        <w:t xml:space="preserve">. </w:t>
      </w:r>
      <w:r w:rsidR="00594D93">
        <w:rPr>
          <w:sz w:val="32"/>
          <w:szCs w:val="32"/>
        </w:rPr>
        <w:t>Some of these rules are :</w:t>
      </w:r>
    </w:p>
    <w:p w14:paraId="28C4D42C" w14:textId="531660EC" w:rsidR="00451935" w:rsidRDefault="0070738A" w:rsidP="0045193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 finder of a chattel has no rights over it </w:t>
      </w:r>
      <w:r w:rsidR="00451935">
        <w:rPr>
          <w:sz w:val="32"/>
          <w:szCs w:val="32"/>
        </w:rPr>
        <w:t>unless it is an abandoned property.</w:t>
      </w:r>
    </w:p>
    <w:p w14:paraId="1C911ADF" w14:textId="589AFECA" w:rsidR="00451935" w:rsidRDefault="00451935" w:rsidP="00451935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If a servant finds a lost property during his employment he </w:t>
      </w:r>
      <w:r w:rsidR="00526E12">
        <w:rPr>
          <w:sz w:val="32"/>
          <w:szCs w:val="32"/>
        </w:rPr>
        <w:t>does so on behalf of his employer.</w:t>
      </w:r>
    </w:p>
    <w:p w14:paraId="7E15C730" w14:textId="718F660B" w:rsidR="005A765E" w:rsidRDefault="00526E12" w:rsidP="005A765E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An occupier of a land </w:t>
      </w:r>
      <w:r w:rsidR="00971B13">
        <w:rPr>
          <w:sz w:val="32"/>
          <w:szCs w:val="32"/>
        </w:rPr>
        <w:t xml:space="preserve">has higher rights to those of a finder over </w:t>
      </w:r>
      <w:r w:rsidR="00FE024F">
        <w:rPr>
          <w:sz w:val="32"/>
          <w:szCs w:val="32"/>
        </w:rPr>
        <w:t>property attached to the land</w:t>
      </w:r>
      <w:r w:rsidR="005A765E">
        <w:rPr>
          <w:sz w:val="32"/>
          <w:szCs w:val="32"/>
        </w:rPr>
        <w:t>.</w:t>
      </w:r>
    </w:p>
    <w:p w14:paraId="0A78900D" w14:textId="5D5B62C7" w:rsidR="00DE53DD" w:rsidRDefault="005A765E" w:rsidP="005A765E">
      <w:pPr>
        <w:rPr>
          <w:sz w:val="32"/>
          <w:szCs w:val="32"/>
        </w:rPr>
      </w:pPr>
      <w:r>
        <w:rPr>
          <w:sz w:val="32"/>
          <w:szCs w:val="32"/>
        </w:rPr>
        <w:t xml:space="preserve">There are specific group I individuals qualified to sue for the tort of trespass to chattel and they are; </w:t>
      </w:r>
      <w:r w:rsidR="009B6E36">
        <w:rPr>
          <w:sz w:val="32"/>
          <w:szCs w:val="32"/>
        </w:rPr>
        <w:t xml:space="preserve">owners, bailees, </w:t>
      </w:r>
      <w:r w:rsidR="00A27779">
        <w:rPr>
          <w:sz w:val="32"/>
          <w:szCs w:val="32"/>
        </w:rPr>
        <w:t xml:space="preserve">lenders, </w:t>
      </w:r>
      <w:r w:rsidR="00DE53DD">
        <w:rPr>
          <w:sz w:val="32"/>
          <w:szCs w:val="32"/>
        </w:rPr>
        <w:t>assignees</w:t>
      </w:r>
      <w:r w:rsidR="00A27779">
        <w:rPr>
          <w:sz w:val="32"/>
          <w:szCs w:val="32"/>
        </w:rPr>
        <w:t xml:space="preserve">, trustees, finders, </w:t>
      </w:r>
      <w:r w:rsidR="0035369C">
        <w:rPr>
          <w:sz w:val="32"/>
          <w:szCs w:val="32"/>
        </w:rPr>
        <w:t>custodians, caretakers, etc.</w:t>
      </w:r>
    </w:p>
    <w:p w14:paraId="15E9556C" w14:textId="132F6CE4" w:rsidR="00AC51DD" w:rsidRDefault="00AC51DD" w:rsidP="005A765E">
      <w:pPr>
        <w:rPr>
          <w:sz w:val="32"/>
          <w:szCs w:val="32"/>
        </w:rPr>
      </w:pPr>
      <w:r>
        <w:rPr>
          <w:sz w:val="32"/>
          <w:szCs w:val="32"/>
        </w:rPr>
        <w:t xml:space="preserve">Next, this writer will </w:t>
      </w:r>
      <w:r w:rsidR="002F60D2">
        <w:rPr>
          <w:sz w:val="32"/>
          <w:szCs w:val="32"/>
        </w:rPr>
        <w:t xml:space="preserve">state the difference between </w:t>
      </w:r>
      <w:r w:rsidR="002C0D82">
        <w:rPr>
          <w:sz w:val="32"/>
          <w:szCs w:val="32"/>
        </w:rPr>
        <w:t>conversion and detinue. Sometimes detinue can cover the same ground as conversion but there are few differences which are:</w:t>
      </w:r>
      <w:r w:rsidR="002A1328">
        <w:rPr>
          <w:sz w:val="32"/>
          <w:szCs w:val="32"/>
        </w:rPr>
        <w:t xml:space="preserve"> the refusal to surrender or return a chattel on demand</w:t>
      </w:r>
      <w:r w:rsidR="00FE799F">
        <w:rPr>
          <w:sz w:val="32"/>
          <w:szCs w:val="32"/>
        </w:rPr>
        <w:t>. There must have been a demand for chattel in the tort of detinue.</w:t>
      </w:r>
    </w:p>
    <w:p w14:paraId="53C35D42" w14:textId="6A97D1E0" w:rsidR="00DE53DD" w:rsidRDefault="00AC51DD" w:rsidP="005A765E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Lastly</w:t>
      </w:r>
      <w:r w:rsidR="00DE53DD">
        <w:rPr>
          <w:sz w:val="32"/>
          <w:szCs w:val="32"/>
        </w:rPr>
        <w:t xml:space="preserve">, this writer will list out the remedies and defences for the tort of </w:t>
      </w:r>
      <w:r w:rsidR="00450E31">
        <w:rPr>
          <w:sz w:val="32"/>
          <w:szCs w:val="32"/>
        </w:rPr>
        <w:t>trespass to chattel, detinue and conversion.</w:t>
      </w:r>
    </w:p>
    <w:p w14:paraId="09A209B9" w14:textId="0EDE8958" w:rsidR="00403318" w:rsidRDefault="00403318" w:rsidP="005A765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Defences for trespass to chattel</w:t>
      </w:r>
      <w:r w:rsidR="00450D28">
        <w:rPr>
          <w:b/>
          <w:bCs/>
          <w:sz w:val="32"/>
          <w:szCs w:val="32"/>
          <w:u w:val="single"/>
        </w:rPr>
        <w:t xml:space="preserve">, </w:t>
      </w:r>
      <w:r w:rsidR="002940A3">
        <w:rPr>
          <w:b/>
          <w:bCs/>
          <w:sz w:val="32"/>
          <w:szCs w:val="32"/>
          <w:u w:val="single"/>
        </w:rPr>
        <w:t>detinue and conversion</w:t>
      </w:r>
    </w:p>
    <w:p w14:paraId="30A764CE" w14:textId="20D30C87" w:rsidR="00403318" w:rsidRDefault="00403318" w:rsidP="005A765E">
      <w:pPr>
        <w:rPr>
          <w:sz w:val="32"/>
          <w:szCs w:val="32"/>
          <w:u w:val="single"/>
        </w:rPr>
      </w:pPr>
    </w:p>
    <w:p w14:paraId="4F0E31CE" w14:textId="3B3AED65" w:rsidR="00E5530A" w:rsidRPr="00E5530A" w:rsidRDefault="00E5530A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Inevitable accident </w:t>
      </w:r>
    </w:p>
    <w:p w14:paraId="5EB21DC5" w14:textId="7BE0BE7C" w:rsidR="00E5530A" w:rsidRPr="00E5530A" w:rsidRDefault="00E5530A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Subsisting line</w:t>
      </w:r>
    </w:p>
    <w:p w14:paraId="77F8A117" w14:textId="778190F2" w:rsidR="00E5530A" w:rsidRPr="00E5530A" w:rsidRDefault="00E5530A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Subsisting bailment </w:t>
      </w:r>
    </w:p>
    <w:p w14:paraId="40A28056" w14:textId="150C6B46" w:rsidR="00E5530A" w:rsidRPr="00495A64" w:rsidRDefault="00495A64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Limitation of time</w:t>
      </w:r>
    </w:p>
    <w:p w14:paraId="187C25F0" w14:textId="6DBAD1CE" w:rsidR="00495A64" w:rsidRPr="001A0537" w:rsidRDefault="00495A64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Jus </w:t>
      </w:r>
      <w:proofErr w:type="spellStart"/>
      <w:r>
        <w:rPr>
          <w:sz w:val="32"/>
          <w:szCs w:val="32"/>
        </w:rPr>
        <w:t>tertii</w:t>
      </w:r>
      <w:proofErr w:type="spellEnd"/>
    </w:p>
    <w:p w14:paraId="330FAC7F" w14:textId="276E2BFC" w:rsidR="001A0537" w:rsidRPr="00E5530A" w:rsidRDefault="001A0537" w:rsidP="00E5530A">
      <w:pPr>
        <w:pStyle w:val="ListParagraph"/>
        <w:numPr>
          <w:ilvl w:val="0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Innocent delivery </w:t>
      </w:r>
    </w:p>
    <w:p w14:paraId="779C107C" w14:textId="6BA951E0" w:rsidR="0006176B" w:rsidRDefault="002C7B4F" w:rsidP="0006176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Remedies for trespass to chattel</w:t>
      </w:r>
      <w:r w:rsidR="00AC51DD">
        <w:rPr>
          <w:b/>
          <w:bCs/>
          <w:sz w:val="32"/>
          <w:szCs w:val="32"/>
          <w:u w:val="single"/>
        </w:rPr>
        <w:t>, conversion and detinue</w:t>
      </w:r>
    </w:p>
    <w:p w14:paraId="08A10352" w14:textId="0DB54C4F" w:rsidR="002C7B4F" w:rsidRDefault="00B67D53" w:rsidP="002C7B4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Payment of damages</w:t>
      </w:r>
    </w:p>
    <w:p w14:paraId="7F3D1B15" w14:textId="489A2442" w:rsidR="00B67D53" w:rsidRDefault="00B67D53" w:rsidP="002C7B4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Repair of the damage</w:t>
      </w:r>
    </w:p>
    <w:p w14:paraId="220BE8E1" w14:textId="1F06A644" w:rsidR="00D6473E" w:rsidRDefault="003E2CE3" w:rsidP="00D6473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Claim for replacement of the chattel</w:t>
      </w:r>
      <w:r w:rsidR="00F9362F">
        <w:rPr>
          <w:sz w:val="32"/>
          <w:szCs w:val="32"/>
        </w:rPr>
        <w:t>.</w:t>
      </w:r>
    </w:p>
    <w:p w14:paraId="03E0B563" w14:textId="74587529" w:rsidR="00D6473E" w:rsidRPr="00D6473E" w:rsidRDefault="00D6473E" w:rsidP="00D6473E">
      <w:pPr>
        <w:rPr>
          <w:sz w:val="32"/>
          <w:szCs w:val="32"/>
        </w:rPr>
      </w:pPr>
    </w:p>
    <w:p w14:paraId="76CAC8F6" w14:textId="77777777" w:rsidR="00D6473E" w:rsidRPr="00D6473E" w:rsidRDefault="00D6473E" w:rsidP="00D6473E">
      <w:pPr>
        <w:rPr>
          <w:sz w:val="32"/>
          <w:szCs w:val="32"/>
        </w:rPr>
      </w:pPr>
    </w:p>
    <w:p w14:paraId="124D4846" w14:textId="5D25480E" w:rsidR="00B67D53" w:rsidRDefault="00B67D53" w:rsidP="00B67D53">
      <w:pPr>
        <w:rPr>
          <w:sz w:val="32"/>
          <w:szCs w:val="32"/>
        </w:rPr>
      </w:pPr>
    </w:p>
    <w:p w14:paraId="7A4A3A9E" w14:textId="0CB7B111" w:rsidR="00F9362F" w:rsidRDefault="00F9362F" w:rsidP="00B67D53">
      <w:pPr>
        <w:rPr>
          <w:sz w:val="32"/>
          <w:szCs w:val="32"/>
        </w:rPr>
      </w:pPr>
    </w:p>
    <w:p w14:paraId="7E10A1C7" w14:textId="5F1B4FDE" w:rsidR="00F9362F" w:rsidRDefault="00F9362F" w:rsidP="00B67D53">
      <w:pPr>
        <w:rPr>
          <w:sz w:val="32"/>
          <w:szCs w:val="32"/>
        </w:rPr>
      </w:pPr>
    </w:p>
    <w:p w14:paraId="35D3EC2A" w14:textId="1E17CC0B" w:rsidR="00F9362F" w:rsidRDefault="00F9362F" w:rsidP="00B67D53">
      <w:pPr>
        <w:rPr>
          <w:sz w:val="32"/>
          <w:szCs w:val="32"/>
        </w:rPr>
      </w:pPr>
    </w:p>
    <w:p w14:paraId="11FB9219" w14:textId="7B208339" w:rsidR="00F9362F" w:rsidRDefault="00F9362F" w:rsidP="00B67D53">
      <w:pPr>
        <w:rPr>
          <w:sz w:val="32"/>
          <w:szCs w:val="32"/>
        </w:rPr>
      </w:pPr>
    </w:p>
    <w:p w14:paraId="2957201D" w14:textId="0E77BC80" w:rsidR="00F9362F" w:rsidRDefault="00F9362F" w:rsidP="00B67D53">
      <w:pPr>
        <w:rPr>
          <w:sz w:val="32"/>
          <w:szCs w:val="32"/>
        </w:rPr>
      </w:pPr>
    </w:p>
    <w:p w14:paraId="22872450" w14:textId="3588D22D" w:rsidR="00F9362F" w:rsidRDefault="00F9362F" w:rsidP="00B67D53">
      <w:pPr>
        <w:rPr>
          <w:sz w:val="32"/>
          <w:szCs w:val="32"/>
        </w:rPr>
      </w:pPr>
    </w:p>
    <w:p w14:paraId="5CF3DC44" w14:textId="12560754" w:rsidR="00F9362F" w:rsidRDefault="00F9362F" w:rsidP="00B67D53">
      <w:pPr>
        <w:rPr>
          <w:sz w:val="32"/>
          <w:szCs w:val="32"/>
        </w:rPr>
      </w:pPr>
    </w:p>
    <w:p w14:paraId="0963E734" w14:textId="58A96685" w:rsidR="00F9362F" w:rsidRDefault="00F9362F" w:rsidP="00B67D53">
      <w:pPr>
        <w:rPr>
          <w:sz w:val="32"/>
          <w:szCs w:val="32"/>
        </w:rPr>
      </w:pPr>
    </w:p>
    <w:p w14:paraId="0690047A" w14:textId="44643315" w:rsidR="00F9362F" w:rsidRDefault="00F9362F" w:rsidP="00B67D53">
      <w:pPr>
        <w:rPr>
          <w:sz w:val="32"/>
          <w:szCs w:val="32"/>
        </w:rPr>
      </w:pPr>
    </w:p>
    <w:p w14:paraId="53087BAD" w14:textId="24C3F45B" w:rsidR="00F9362F" w:rsidRDefault="00B77BE9" w:rsidP="00B67D5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REFERENCE </w:t>
      </w:r>
    </w:p>
    <w:p w14:paraId="0C820C98" w14:textId="61E1FD63" w:rsidR="00B77BE9" w:rsidRDefault="00B77BE9" w:rsidP="00B77BE9">
      <w:pPr>
        <w:pStyle w:val="ListParagraph"/>
        <w:numPr>
          <w:ilvl w:val="1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Law of tort (ESE MELAMI)</w:t>
      </w:r>
    </w:p>
    <w:p w14:paraId="35C2A9D0" w14:textId="1666D301" w:rsidR="00B77BE9" w:rsidRDefault="00D43B5D" w:rsidP="00B77BE9">
      <w:pPr>
        <w:pStyle w:val="ListParagraph"/>
        <w:numPr>
          <w:ilvl w:val="1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Oxford Dictionary </w:t>
      </w:r>
    </w:p>
    <w:p w14:paraId="1DE72245" w14:textId="60582577" w:rsidR="00D43B5D" w:rsidRPr="00EF2227" w:rsidRDefault="00D43B5D" w:rsidP="00EF2227">
      <w:pPr>
        <w:ind w:left="1080"/>
        <w:rPr>
          <w:b/>
          <w:bCs/>
          <w:sz w:val="32"/>
          <w:szCs w:val="32"/>
        </w:rPr>
      </w:pPr>
    </w:p>
    <w:p w14:paraId="43306609" w14:textId="77777777" w:rsidR="00C15D6E" w:rsidRPr="005A765E" w:rsidRDefault="00C15D6E" w:rsidP="005A765E">
      <w:pPr>
        <w:rPr>
          <w:sz w:val="32"/>
          <w:szCs w:val="32"/>
        </w:rPr>
      </w:pPr>
    </w:p>
    <w:sectPr w:rsidR="00C15D6E" w:rsidRPr="005A7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74C6" w14:textId="77777777" w:rsidR="001F7AF8" w:rsidRDefault="001F7AF8" w:rsidP="004E01A4">
      <w:pPr>
        <w:spacing w:after="0" w:line="240" w:lineRule="auto"/>
      </w:pPr>
      <w:r>
        <w:separator/>
      </w:r>
    </w:p>
  </w:endnote>
  <w:endnote w:type="continuationSeparator" w:id="0">
    <w:p w14:paraId="385C3999" w14:textId="77777777" w:rsidR="001F7AF8" w:rsidRDefault="001F7AF8" w:rsidP="004E01A4">
      <w:pPr>
        <w:spacing w:after="0" w:line="240" w:lineRule="auto"/>
      </w:pPr>
      <w:r>
        <w:continuationSeparator/>
      </w:r>
    </w:p>
  </w:endnote>
  <w:endnote w:type="continuationNotice" w:id="1">
    <w:p w14:paraId="2089566C" w14:textId="77777777" w:rsidR="001F7AF8" w:rsidRDefault="001F7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686A" w14:textId="77777777" w:rsidR="001F7AF8" w:rsidRDefault="001F7AF8" w:rsidP="004E01A4">
      <w:pPr>
        <w:spacing w:after="0" w:line="240" w:lineRule="auto"/>
      </w:pPr>
      <w:r>
        <w:separator/>
      </w:r>
    </w:p>
  </w:footnote>
  <w:footnote w:type="continuationSeparator" w:id="0">
    <w:p w14:paraId="341BE618" w14:textId="77777777" w:rsidR="001F7AF8" w:rsidRDefault="001F7AF8" w:rsidP="004E01A4">
      <w:pPr>
        <w:spacing w:after="0" w:line="240" w:lineRule="auto"/>
      </w:pPr>
      <w:r>
        <w:continuationSeparator/>
      </w:r>
    </w:p>
  </w:footnote>
  <w:footnote w:type="continuationNotice" w:id="1">
    <w:p w14:paraId="7A19E985" w14:textId="77777777" w:rsidR="001F7AF8" w:rsidRDefault="001F7AF8">
      <w:pPr>
        <w:spacing w:after="0" w:line="240" w:lineRule="auto"/>
      </w:pPr>
    </w:p>
  </w:footnote>
  <w:footnote w:id="2">
    <w:p w14:paraId="15357413" w14:textId="5BFACA56" w:rsidR="004E01A4" w:rsidRDefault="004E01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28B8">
        <w:t xml:space="preserve">LAW OF TORTS  (ESE MELAMI) </w:t>
      </w:r>
      <w:proofErr w:type="spellStart"/>
      <w:r w:rsidR="00B428B8">
        <w:t>pg</w:t>
      </w:r>
      <w:proofErr w:type="spellEnd"/>
      <w:r w:rsidR="00B428B8">
        <w:t xml:space="preserve"> 209</w:t>
      </w:r>
    </w:p>
  </w:footnote>
  <w:footnote w:id="3">
    <w:p w14:paraId="04B279A9" w14:textId="49B14AF0" w:rsidR="00606EFE" w:rsidRDefault="00606E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DA2">
        <w:t xml:space="preserve">Oxford Dictionary </w:t>
      </w:r>
    </w:p>
  </w:footnote>
  <w:footnote w:id="4">
    <w:p w14:paraId="6B8142D1" w14:textId="5249D2CE" w:rsidR="00044A7F" w:rsidRDefault="00044A7F">
      <w:pPr>
        <w:pStyle w:val="FootnoteText"/>
      </w:pPr>
      <w:r>
        <w:rPr>
          <w:rStyle w:val="FootnoteReference"/>
        </w:rPr>
        <w:footnoteRef/>
      </w:r>
      <w:r>
        <w:t xml:space="preserve"> Meriamwebster.com date accessed- 25/01/</w:t>
      </w:r>
      <w:r w:rsidR="00377C77">
        <w:t>2021 Time assessed- 10:02am</w:t>
      </w:r>
    </w:p>
  </w:footnote>
  <w:footnote w:id="5">
    <w:p w14:paraId="6C53332E" w14:textId="71B4DD76" w:rsidR="00F61BB4" w:rsidRDefault="00F61B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73EE0">
        <w:t xml:space="preserve">Findlaw.com </w:t>
      </w:r>
      <w:r w:rsidR="009C6E9C">
        <w:t>date accessed- 26</w:t>
      </w:r>
      <w:r w:rsidR="009C6E9C">
        <w:rPr>
          <w:vertAlign w:val="superscript"/>
        </w:rPr>
        <w:t xml:space="preserve">/01/2021 Time accessed- </w:t>
      </w:r>
      <w:r w:rsidR="00401B28">
        <w:rPr>
          <w:vertAlign w:val="superscript"/>
        </w:rPr>
        <w:t>2:55pm</w:t>
      </w:r>
    </w:p>
  </w:footnote>
  <w:footnote w:id="6">
    <w:p w14:paraId="67C09872" w14:textId="5623AAE1" w:rsidR="001B0C38" w:rsidRDefault="001B0C38">
      <w:pPr>
        <w:pStyle w:val="FootnoteText"/>
      </w:pPr>
      <w:r>
        <w:rPr>
          <w:rStyle w:val="FootnoteReference"/>
        </w:rPr>
        <w:footnoteRef/>
      </w:r>
      <w:r>
        <w:t xml:space="preserve"> Ibbswrightlawyers.com date accessed- 26/01/2021 </w:t>
      </w:r>
      <w:r w:rsidR="004E1FE4">
        <w:t>Time assessed 8:40pm</w:t>
      </w:r>
    </w:p>
  </w:footnote>
  <w:footnote w:id="7">
    <w:p w14:paraId="40C33CD6" w14:textId="6718412A" w:rsidR="00581B59" w:rsidRDefault="00581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1690">
        <w:t xml:space="preserve">Dmlp.org date accessed- 26/01/2021 Time accessed </w:t>
      </w:r>
      <w:r w:rsidR="00DA5E3F">
        <w:t>9:00pm</w:t>
      </w:r>
    </w:p>
  </w:footnote>
  <w:footnote w:id="8">
    <w:p w14:paraId="1198E5ED" w14:textId="7D0338E6" w:rsidR="00F373A9" w:rsidRDefault="00F373A9">
      <w:pPr>
        <w:pStyle w:val="FootnoteText"/>
      </w:pPr>
      <w:r>
        <w:rPr>
          <w:rStyle w:val="FootnoteReference"/>
        </w:rPr>
        <w:footnoteRef/>
      </w:r>
      <w:r>
        <w:t xml:space="preserve"> LAW OF TORT (ESE MELAMI)</w:t>
      </w:r>
    </w:p>
  </w:footnote>
  <w:footnote w:id="9">
    <w:p w14:paraId="2A3D5062" w14:textId="2BC5E8F5" w:rsidR="00805997" w:rsidRDefault="008059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C68AB">
        <w:t>(1986) 5 NWLR pt42 p532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716E"/>
    <w:multiLevelType w:val="hybridMultilevel"/>
    <w:tmpl w:val="8FC4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003E3"/>
    <w:multiLevelType w:val="hybridMultilevel"/>
    <w:tmpl w:val="BA04D6D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587"/>
    <w:multiLevelType w:val="hybridMultilevel"/>
    <w:tmpl w:val="8FAC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2782"/>
    <w:multiLevelType w:val="hybridMultilevel"/>
    <w:tmpl w:val="AC7A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71F73"/>
    <w:multiLevelType w:val="hybridMultilevel"/>
    <w:tmpl w:val="6C4ABC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33C2"/>
    <w:multiLevelType w:val="hybridMultilevel"/>
    <w:tmpl w:val="8F0E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3D93"/>
    <w:multiLevelType w:val="hybridMultilevel"/>
    <w:tmpl w:val="03E4B1E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C1128"/>
    <w:multiLevelType w:val="hybridMultilevel"/>
    <w:tmpl w:val="DB54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23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77B75"/>
    <w:multiLevelType w:val="hybridMultilevel"/>
    <w:tmpl w:val="CDC491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AB239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4BCE"/>
    <w:multiLevelType w:val="hybridMultilevel"/>
    <w:tmpl w:val="C6E276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1AE4"/>
    <w:multiLevelType w:val="hybridMultilevel"/>
    <w:tmpl w:val="D2D8501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1C19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34"/>
    <w:rsid w:val="00035252"/>
    <w:rsid w:val="00044A7F"/>
    <w:rsid w:val="00055495"/>
    <w:rsid w:val="0006176B"/>
    <w:rsid w:val="00064B0D"/>
    <w:rsid w:val="000E1E9F"/>
    <w:rsid w:val="000E625C"/>
    <w:rsid w:val="001013E1"/>
    <w:rsid w:val="00111696"/>
    <w:rsid w:val="00114634"/>
    <w:rsid w:val="0011469C"/>
    <w:rsid w:val="0013528B"/>
    <w:rsid w:val="001438C3"/>
    <w:rsid w:val="001473B5"/>
    <w:rsid w:val="00152E5B"/>
    <w:rsid w:val="0018281F"/>
    <w:rsid w:val="00186CE1"/>
    <w:rsid w:val="00194D72"/>
    <w:rsid w:val="001A0537"/>
    <w:rsid w:val="001B0C38"/>
    <w:rsid w:val="001B37B2"/>
    <w:rsid w:val="001E0D00"/>
    <w:rsid w:val="001F01EE"/>
    <w:rsid w:val="001F5FAB"/>
    <w:rsid w:val="001F7AF8"/>
    <w:rsid w:val="00220288"/>
    <w:rsid w:val="00261BB5"/>
    <w:rsid w:val="00291855"/>
    <w:rsid w:val="002940A3"/>
    <w:rsid w:val="002A1328"/>
    <w:rsid w:val="002A3D99"/>
    <w:rsid w:val="002C0484"/>
    <w:rsid w:val="002C0D82"/>
    <w:rsid w:val="002C60F4"/>
    <w:rsid w:val="002C7B4F"/>
    <w:rsid w:val="002D3911"/>
    <w:rsid w:val="002E2A16"/>
    <w:rsid w:val="002E76D4"/>
    <w:rsid w:val="002F60D2"/>
    <w:rsid w:val="003172A6"/>
    <w:rsid w:val="00324EFC"/>
    <w:rsid w:val="003309FE"/>
    <w:rsid w:val="00347355"/>
    <w:rsid w:val="0035068D"/>
    <w:rsid w:val="0035369C"/>
    <w:rsid w:val="003738E2"/>
    <w:rsid w:val="00377C77"/>
    <w:rsid w:val="003819D5"/>
    <w:rsid w:val="003A57A3"/>
    <w:rsid w:val="003C1690"/>
    <w:rsid w:val="003E2CE3"/>
    <w:rsid w:val="003E5594"/>
    <w:rsid w:val="00401B28"/>
    <w:rsid w:val="00403318"/>
    <w:rsid w:val="00403CBD"/>
    <w:rsid w:val="00450D28"/>
    <w:rsid w:val="00450E31"/>
    <w:rsid w:val="00451935"/>
    <w:rsid w:val="004521DC"/>
    <w:rsid w:val="00467BEC"/>
    <w:rsid w:val="004707DC"/>
    <w:rsid w:val="004774E4"/>
    <w:rsid w:val="00480E29"/>
    <w:rsid w:val="00486716"/>
    <w:rsid w:val="00495A64"/>
    <w:rsid w:val="004D257E"/>
    <w:rsid w:val="004D36E9"/>
    <w:rsid w:val="004E01A4"/>
    <w:rsid w:val="004E16EB"/>
    <w:rsid w:val="004E1FE4"/>
    <w:rsid w:val="004F4B4D"/>
    <w:rsid w:val="005134A8"/>
    <w:rsid w:val="005224FD"/>
    <w:rsid w:val="00526E12"/>
    <w:rsid w:val="00541E43"/>
    <w:rsid w:val="00573EE0"/>
    <w:rsid w:val="00575044"/>
    <w:rsid w:val="00581B59"/>
    <w:rsid w:val="005854DA"/>
    <w:rsid w:val="00594D93"/>
    <w:rsid w:val="005A6E7F"/>
    <w:rsid w:val="005A765E"/>
    <w:rsid w:val="005B3E95"/>
    <w:rsid w:val="005D4D37"/>
    <w:rsid w:val="00602F8A"/>
    <w:rsid w:val="00606EFE"/>
    <w:rsid w:val="00624467"/>
    <w:rsid w:val="00626AF6"/>
    <w:rsid w:val="00656CAE"/>
    <w:rsid w:val="00657DCF"/>
    <w:rsid w:val="00660DA2"/>
    <w:rsid w:val="0067558B"/>
    <w:rsid w:val="00675752"/>
    <w:rsid w:val="006808FE"/>
    <w:rsid w:val="006D6C68"/>
    <w:rsid w:val="006D7E36"/>
    <w:rsid w:val="006F4A00"/>
    <w:rsid w:val="00700DED"/>
    <w:rsid w:val="0070738A"/>
    <w:rsid w:val="0071074B"/>
    <w:rsid w:val="007137D0"/>
    <w:rsid w:val="00744C19"/>
    <w:rsid w:val="00757CFA"/>
    <w:rsid w:val="00790621"/>
    <w:rsid w:val="00795B68"/>
    <w:rsid w:val="007A1F0E"/>
    <w:rsid w:val="007E246B"/>
    <w:rsid w:val="00805997"/>
    <w:rsid w:val="00831525"/>
    <w:rsid w:val="0084204D"/>
    <w:rsid w:val="00845756"/>
    <w:rsid w:val="0087392A"/>
    <w:rsid w:val="00895F87"/>
    <w:rsid w:val="00896CD1"/>
    <w:rsid w:val="008B449F"/>
    <w:rsid w:val="008F06A1"/>
    <w:rsid w:val="008F545C"/>
    <w:rsid w:val="0090467C"/>
    <w:rsid w:val="00920BCA"/>
    <w:rsid w:val="0093620D"/>
    <w:rsid w:val="00942AFF"/>
    <w:rsid w:val="00942CBA"/>
    <w:rsid w:val="00961E7E"/>
    <w:rsid w:val="00971B13"/>
    <w:rsid w:val="00990E89"/>
    <w:rsid w:val="00994AEE"/>
    <w:rsid w:val="009B6E36"/>
    <w:rsid w:val="009C6E9C"/>
    <w:rsid w:val="009D7C51"/>
    <w:rsid w:val="00A01FC1"/>
    <w:rsid w:val="00A10DFC"/>
    <w:rsid w:val="00A2758E"/>
    <w:rsid w:val="00A27779"/>
    <w:rsid w:val="00A3299B"/>
    <w:rsid w:val="00A4345F"/>
    <w:rsid w:val="00A43955"/>
    <w:rsid w:val="00A6412A"/>
    <w:rsid w:val="00AC51DD"/>
    <w:rsid w:val="00AF10B3"/>
    <w:rsid w:val="00B0239A"/>
    <w:rsid w:val="00B377E6"/>
    <w:rsid w:val="00B42719"/>
    <w:rsid w:val="00B428B8"/>
    <w:rsid w:val="00B62E3B"/>
    <w:rsid w:val="00B67D53"/>
    <w:rsid w:val="00B77BE9"/>
    <w:rsid w:val="00BB3851"/>
    <w:rsid w:val="00BF5285"/>
    <w:rsid w:val="00C15D6E"/>
    <w:rsid w:val="00C44C29"/>
    <w:rsid w:val="00C471DB"/>
    <w:rsid w:val="00C573C9"/>
    <w:rsid w:val="00C666AC"/>
    <w:rsid w:val="00C87B2B"/>
    <w:rsid w:val="00C95E47"/>
    <w:rsid w:val="00CC43E9"/>
    <w:rsid w:val="00CC68AB"/>
    <w:rsid w:val="00CE38FD"/>
    <w:rsid w:val="00CF05EF"/>
    <w:rsid w:val="00D05CC0"/>
    <w:rsid w:val="00D0698D"/>
    <w:rsid w:val="00D252BE"/>
    <w:rsid w:val="00D43B5D"/>
    <w:rsid w:val="00D57702"/>
    <w:rsid w:val="00D60A87"/>
    <w:rsid w:val="00D6473E"/>
    <w:rsid w:val="00D72EE6"/>
    <w:rsid w:val="00D762D2"/>
    <w:rsid w:val="00DA5E3F"/>
    <w:rsid w:val="00DC61C8"/>
    <w:rsid w:val="00DE53DD"/>
    <w:rsid w:val="00E057F1"/>
    <w:rsid w:val="00E06175"/>
    <w:rsid w:val="00E15CCE"/>
    <w:rsid w:val="00E436DF"/>
    <w:rsid w:val="00E5530A"/>
    <w:rsid w:val="00E80D62"/>
    <w:rsid w:val="00ED1439"/>
    <w:rsid w:val="00ED5737"/>
    <w:rsid w:val="00EF2227"/>
    <w:rsid w:val="00EF5606"/>
    <w:rsid w:val="00F01600"/>
    <w:rsid w:val="00F017C7"/>
    <w:rsid w:val="00F03AB9"/>
    <w:rsid w:val="00F12BC7"/>
    <w:rsid w:val="00F373A9"/>
    <w:rsid w:val="00F61BB4"/>
    <w:rsid w:val="00F77DC3"/>
    <w:rsid w:val="00F80130"/>
    <w:rsid w:val="00F9362F"/>
    <w:rsid w:val="00FA2D75"/>
    <w:rsid w:val="00FB18B9"/>
    <w:rsid w:val="00FE024F"/>
    <w:rsid w:val="00FE68CF"/>
    <w:rsid w:val="00FE799F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670E8"/>
  <w15:chartTrackingRefBased/>
  <w15:docId w15:val="{F98EC90A-F0C6-4B41-81F4-CB06CB7F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01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1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0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130"/>
  </w:style>
  <w:style w:type="paragraph" w:styleId="Footer">
    <w:name w:val="footer"/>
    <w:basedOn w:val="Normal"/>
    <w:link w:val="FooterChar"/>
    <w:uiPriority w:val="99"/>
    <w:semiHidden/>
    <w:unhideWhenUsed/>
    <w:rsid w:val="00F80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Uniquefavour Chidi</dc:creator>
  <cp:keywords/>
  <dc:description/>
  <cp:lastModifiedBy>Uniquefavour Chidi</cp:lastModifiedBy>
  <cp:revision>2</cp:revision>
  <dcterms:created xsi:type="dcterms:W3CDTF">2021-01-27T20:38:00Z</dcterms:created>
  <dcterms:modified xsi:type="dcterms:W3CDTF">2021-01-27T20:38:00Z</dcterms:modified>
</cp:coreProperties>
</file>