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1B" w:rsidRPr="004C5D96" w:rsidRDefault="004C5D96" w:rsidP="004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Principles of u</w:t>
      </w:r>
      <w:r w:rsidR="00B2331B" w:rsidRPr="004C5D96">
        <w:rPr>
          <w:rFonts w:ascii="Times New Roman" w:hAnsi="Times New Roman" w:cs="Times New Roman"/>
          <w:b/>
          <w:bCs/>
          <w:sz w:val="24"/>
          <w:szCs w:val="24"/>
        </w:rPr>
        <w:t>se of</w:t>
      </w:r>
      <w:r w:rsidR="00B2331B"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31B" w:rsidRPr="004C5D96">
        <w:rPr>
          <w:rFonts w:ascii="Times New Roman" w:hAnsi="Times New Roman" w:cs="Times New Roman"/>
          <w:b/>
          <w:bCs/>
          <w:sz w:val="24"/>
          <w:szCs w:val="24"/>
        </w:rPr>
        <w:t>antimicrobial drugs</w:t>
      </w:r>
    </w:p>
    <w:p w:rsidR="003F3CE7" w:rsidRPr="004C5D96" w:rsidRDefault="00027DEE" w:rsidP="004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sz w:val="24"/>
          <w:szCs w:val="24"/>
        </w:rPr>
        <w:t>Although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originally used for the treatment of established bacterial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infections, antibiotics have proved useful in the prevention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of infection in various high - risk circumstances;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this applies especially to patients undergoing various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surgical procedures where perioperative antibiotics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have significantly reduced postoperative infectious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complications.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 advantages of effective antimicrobial chemotherapy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are self - evident, but this has led to a significant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problem in ensuring that they are always appropriately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used. Prescribers face a dilemma: initial antimicrobial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therapy must be effective against all likely infective organisms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for the individual presentation, but excessive use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broad - spectrum agents contributes to the development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and selection of drug - resistant organisms. Hence, anti </w:t>
      </w:r>
      <w:r w:rsidR="00B2331B" w:rsidRPr="004C5D96">
        <w:rPr>
          <w:rFonts w:ascii="Times New Roman" w:hAnsi="Times New Roman" w:cs="Times New Roman"/>
          <w:sz w:val="24"/>
          <w:szCs w:val="24"/>
        </w:rPr>
        <w:t>–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B2331B" w:rsidRPr="004C5D96">
        <w:rPr>
          <w:rFonts w:ascii="Times New Roman" w:hAnsi="Times New Roman" w:cs="Times New Roman"/>
          <w:sz w:val="24"/>
          <w:szCs w:val="24"/>
        </w:rPr>
        <w:t>infective agents</w:t>
      </w:r>
      <w:r w:rsidRPr="004C5D96">
        <w:rPr>
          <w:rFonts w:ascii="Times New Roman" w:hAnsi="Times New Roman" w:cs="Times New Roman"/>
          <w:sz w:val="24"/>
          <w:szCs w:val="24"/>
        </w:rPr>
        <w:t xml:space="preserve"> are the only class of drug where inappropriate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use in one patient can jeopardize the efficacy of treatment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 other individuals.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Examples of inappropriate antimicrobial use include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prescribing in situations where antibiotics are either ineffective,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such as viral infections, or where the selected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agent, its dose, route of administration or duration of use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are inappropriate. Of particular concern is the unnecessarily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prolonged use of antibiotics for surgical prophylaxis.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Apart from encouraging super</w:t>
      </w:r>
      <w:r w:rsidR="00B2331B" w:rsidRPr="004C5D96">
        <w:rPr>
          <w:rFonts w:ascii="Times New Roman" w:hAnsi="Times New Roman" w:cs="Times New Roman"/>
          <w:sz w:val="24"/>
          <w:szCs w:val="24"/>
        </w:rPr>
        <w:t>-</w:t>
      </w:r>
      <w:r w:rsidRPr="004C5D96">
        <w:rPr>
          <w:rFonts w:ascii="Times New Roman" w:hAnsi="Times New Roman" w:cs="Times New Roman"/>
          <w:sz w:val="24"/>
          <w:szCs w:val="24"/>
        </w:rPr>
        <w:t>infection by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drug - resistant organisms, prolonged use is wasteful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health resources and unnecessarily increases the risk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adverse drug reactions.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I</w:t>
      </w:r>
      <w:r w:rsidRPr="004C5D96">
        <w:rPr>
          <w:rFonts w:ascii="Times New Roman" w:hAnsi="Times New Roman" w:cs="Times New Roman"/>
          <w:sz w:val="24"/>
          <w:szCs w:val="24"/>
        </w:rPr>
        <w:t>t should be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remembered that these agents are also extensively used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 veterinary practice and, to a diminishing extent, in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animal husbandry as growth promoters.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B2331B" w:rsidRPr="004C5D96">
        <w:rPr>
          <w:rFonts w:ascii="Times New Roman" w:hAnsi="Times New Roman" w:cs="Times New Roman"/>
          <w:sz w:val="24"/>
          <w:szCs w:val="24"/>
        </w:rPr>
        <w:t>Thus, it is essential that the clinical</w:t>
      </w:r>
      <w:r w:rsidR="00B2331B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B2331B" w:rsidRPr="004C5D96">
        <w:rPr>
          <w:rFonts w:ascii="Times New Roman" w:hAnsi="Times New Roman" w:cs="Times New Roman"/>
          <w:sz w:val="24"/>
          <w:szCs w:val="24"/>
        </w:rPr>
        <w:t>use of these agents be based on a clear understanding</w:t>
      </w:r>
      <w:r w:rsidR="00B2331B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B2331B" w:rsidRPr="004C5D96">
        <w:rPr>
          <w:rFonts w:ascii="Times New Roman" w:hAnsi="Times New Roman" w:cs="Times New Roman"/>
          <w:sz w:val="24"/>
          <w:szCs w:val="24"/>
        </w:rPr>
        <w:t>of the principles that have evolved to ensure safe, yet</w:t>
      </w:r>
      <w:r w:rsidR="00B2331B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B2331B" w:rsidRPr="004C5D96">
        <w:rPr>
          <w:rFonts w:ascii="Times New Roman" w:hAnsi="Times New Roman" w:cs="Times New Roman"/>
          <w:sz w:val="24"/>
          <w:szCs w:val="24"/>
        </w:rPr>
        <w:t>effective, prescribing.</w:t>
      </w:r>
    </w:p>
    <w:p w:rsidR="00B2331B" w:rsidRPr="004C5D96" w:rsidRDefault="00B2331B" w:rsidP="004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Factors to consider</w:t>
      </w:r>
    </w:p>
    <w:p w:rsidR="00B2331B" w:rsidRPr="004C5D96" w:rsidRDefault="00B2331B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Susceptibility of infecting organisms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Drug selection should be based on knowledge of its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activity against infecting microorganisms. Selected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organisms may be predictably susceptible to a particular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agent, and laboratory testing is therefore rarely performed.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Streptococcus </w:t>
      </w:r>
      <w:proofErr w:type="spellStart"/>
      <w:r w:rsidRPr="004C5D96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is uniformly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sensitive to penicillin. In contrast, the susceptibility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many Gram-negative enteric bacteria is less predictable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laboratory guidance is essential for safe prescribing.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It can be seen that, although certain bacteria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are susceptible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4C5D96">
        <w:rPr>
          <w:rFonts w:ascii="Times New Roman" w:hAnsi="Times New Roman" w:cs="Times New Roman"/>
          <w:sz w:val="24"/>
          <w:szCs w:val="24"/>
        </w:rPr>
        <w:t>to a particular agent, use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that drug may be inappropriate, either on pharmacological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grounds or because other less toxic agents are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preferred.</w:t>
      </w:r>
    </w:p>
    <w:p w:rsidR="00B2331B" w:rsidRPr="004C5D96" w:rsidRDefault="00157B4F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Host f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>actors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4C5D96">
        <w:rPr>
          <w:rFonts w:ascii="Times New Roman" w:hAnsi="Times New Roman" w:cs="Times New Roman"/>
          <w:sz w:val="24"/>
          <w:szCs w:val="24"/>
        </w:rPr>
        <w:t>susceptibility testing does not always predict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clinical outcome. Host factors play an important part in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determining outcome and this applies particularly to circulating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tissue phagocytic activity. Infections can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progress rapidly in patients suffering from either an absolute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or functional deficiency of phagocytic cells. This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applies particularly to those suffering from various hematological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malignancies, such as the acute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leukemias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,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where phagocyte function is impaired both by the disease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also by the use of potent cytotoxic drugs which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destroy healthy, as well as malignant, white cells. Under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these circumstances it is essential to select agents that are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bactericidal, as bacteriostatic drugs, such as the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sulphonamides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, rely on host phagocytic activity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to clear bacteria. Widely used bactericidal agents include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the aminoglycosides, broad - spectrum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penicillins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,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cep</w:t>
      </w:r>
      <w:r w:rsidRPr="004C5D96">
        <w:rPr>
          <w:rFonts w:ascii="Times New Roman" w:hAnsi="Times New Roman" w:cs="Times New Roman"/>
          <w:sz w:val="24"/>
          <w:szCs w:val="24"/>
        </w:rPr>
        <w:t>halosporins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and quinolones</w:t>
      </w:r>
      <w:r w:rsidRPr="004C5D96">
        <w:rPr>
          <w:rFonts w:ascii="Times New Roman" w:hAnsi="Times New Roman" w:cs="Times New Roman"/>
          <w:sz w:val="24"/>
          <w:szCs w:val="24"/>
        </w:rPr>
        <w:t>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 some infections the pathogenic organisms are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located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intracellularly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within phagocytic cells and therefore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remain relatively protected from drugs that penetrate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cells poorly, such as the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penicillins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In contrast, erythromycin, rifampicin and the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readily penetrate phagocytic cells. Legion</w:t>
      </w:r>
      <w:r w:rsidRPr="004C5D96">
        <w:rPr>
          <w:rFonts w:ascii="Times New Roman" w:hAnsi="Times New Roman" w:cs="Times New Roman"/>
          <w:sz w:val="24"/>
          <w:szCs w:val="24"/>
        </w:rPr>
        <w:t>naires</w:t>
      </w:r>
      <w:r w:rsidRPr="004C5D96">
        <w:rPr>
          <w:rFonts w:ascii="Times New Roman" w:hAnsi="Times New Roman" w:cs="Times New Roman"/>
          <w:sz w:val="24"/>
          <w:szCs w:val="24"/>
        </w:rPr>
        <w:t>’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disease is an example of an intracellular infection and 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treated with erythromycin with or without rifampicin.</w:t>
      </w:r>
    </w:p>
    <w:p w:rsidR="00157B4F" w:rsidRPr="004C5D96" w:rsidRDefault="00157B4F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Pharmacological factors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Clinical efficacy is also dependent on achieving satisfactory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drug concentrations at the site of the infection; this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is infl</w:t>
      </w:r>
      <w:r w:rsidRPr="004C5D96">
        <w:rPr>
          <w:rFonts w:ascii="Times New Roman" w:hAnsi="Times New Roman" w:cs="Times New Roman"/>
          <w:sz w:val="24"/>
          <w:szCs w:val="24"/>
        </w:rPr>
        <w:t>uenced by the standard pharmacological factors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b/>
          <w:i/>
          <w:sz w:val="24"/>
          <w:szCs w:val="24"/>
        </w:rPr>
        <w:t>absorption, distribution, metabolism and excretion</w:t>
      </w:r>
      <w:r w:rsidRPr="004C5D96">
        <w:rPr>
          <w:rFonts w:ascii="Times New Roman" w:hAnsi="Times New Roman" w:cs="Times New Roman"/>
          <w:sz w:val="24"/>
          <w:szCs w:val="24"/>
        </w:rPr>
        <w:t>. If an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oral agent is selected, gastrointestinal absorption should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be satisfactory. However, it may be impaired by factors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such as the presence of food, drug interactions (including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chelation), or impaired gastrointestinal function either as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 result of surgical resection or mal</w:t>
      </w:r>
      <w:r w:rsidR="00C4378F" w:rsidRPr="004C5D96">
        <w:rPr>
          <w:rFonts w:ascii="Times New Roman" w:hAnsi="Times New Roman" w:cs="Times New Roman"/>
          <w:sz w:val="24"/>
          <w:szCs w:val="24"/>
        </w:rPr>
        <w:t>-</w:t>
      </w:r>
      <w:r w:rsidRPr="004C5D96">
        <w:rPr>
          <w:rFonts w:ascii="Times New Roman" w:hAnsi="Times New Roman" w:cs="Times New Roman"/>
          <w:sz w:val="24"/>
          <w:szCs w:val="24"/>
        </w:rPr>
        <w:t>absorptive states.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Although effective, oral absorption may be inappropriate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 patients who are vomiting or have undergone recent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surgery; under these circumstances a parenteral agent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will be required and has the advantage of providing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rapidly effective drug concentrations.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Antibiotic selection also varies according to the anatomical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site of infection. Lipid solubility is of importance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 relation to drug distribution. For example,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aminoglycosides are poorly lipid - soluble and although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achieving therapeutic concentrations within the extracellular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fluid compartment, penetrate the cerebrospinal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fluid (CSF) poorly</w:t>
      </w:r>
      <w:r w:rsidRPr="004C5D96">
        <w:rPr>
          <w:rFonts w:ascii="Times New Roman" w:hAnsi="Times New Roman" w:cs="Times New Roman"/>
          <w:sz w:val="24"/>
          <w:szCs w:val="24"/>
        </w:rPr>
        <w:t>. Likewise the presence of infl</w:t>
      </w:r>
      <w:r w:rsidRPr="004C5D96">
        <w:rPr>
          <w:rFonts w:ascii="Times New Roman" w:hAnsi="Times New Roman" w:cs="Times New Roman"/>
          <w:sz w:val="24"/>
          <w:szCs w:val="24"/>
        </w:rPr>
        <w:t>ammation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may affect drug penetration into the tissues. In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presence of meningeal inflammation, β - lactam agents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achieve satisfactory concentrations within the CSF, but as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the inflammatory response </w:t>
      </w:r>
      <w:proofErr w:type="gramStart"/>
      <w:r w:rsidRPr="004C5D96">
        <w:rPr>
          <w:rFonts w:ascii="Times New Roman" w:hAnsi="Times New Roman" w:cs="Times New Roman"/>
          <w:sz w:val="24"/>
          <w:szCs w:val="24"/>
        </w:rPr>
        <w:t>subsides</w:t>
      </w:r>
      <w:proofErr w:type="gramEnd"/>
      <w:r w:rsidRPr="004C5D96">
        <w:rPr>
          <w:rFonts w:ascii="Times New Roman" w:hAnsi="Times New Roman" w:cs="Times New Roman"/>
          <w:sz w:val="24"/>
          <w:szCs w:val="24"/>
        </w:rPr>
        <w:t xml:space="preserve"> drug concentrations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fall. Hence it is essential to maintain sufficient dosag</w:t>
      </w:r>
      <w:r w:rsidR="00C4378F" w:rsidRPr="004C5D96">
        <w:rPr>
          <w:rFonts w:ascii="Times New Roman" w:hAnsi="Times New Roman" w:cs="Times New Roman"/>
          <w:sz w:val="24"/>
          <w:szCs w:val="24"/>
        </w:rPr>
        <w:t>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throughout the treatment of bacterial meningitis. Other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agents such as chloramphenicol are little affected by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presence or absence of meningeal inflammation.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Therapeutic drug concentrations within the bile duct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gallbladder are dependent on biliary excretion. In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presence of biliary disease, such as gallstones or chronic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inflammation, the drug concentration may fail to reach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therapeutic levels. In contrast, drugs that are excreted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primarily via the liver or kidneys may require reduced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dosag</w:t>
      </w:r>
      <w:r w:rsidR="00C4378F" w:rsidRPr="004C5D96">
        <w:rPr>
          <w:rFonts w:ascii="Times New Roman" w:hAnsi="Times New Roman" w:cs="Times New Roman"/>
          <w:sz w:val="24"/>
          <w:szCs w:val="24"/>
        </w:rPr>
        <w:t>e</w:t>
      </w:r>
      <w:r w:rsidRPr="004C5D96">
        <w:rPr>
          <w:rFonts w:ascii="Times New Roman" w:hAnsi="Times New Roman" w:cs="Times New Roman"/>
          <w:sz w:val="24"/>
          <w:szCs w:val="24"/>
        </w:rPr>
        <w:t xml:space="preserve"> in the presence of impaired renal or hepatic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function. The malfunction of excretory organs may not</w:t>
      </w:r>
      <w:r w:rsidR="00C4378F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only risk toxicity from drug accumulation, but will also</w:t>
      </w:r>
      <w:r w:rsidR="00C4378F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reduce urinary concentration of drugs excreted primarily</w:t>
      </w:r>
      <w:r w:rsidR="00C4378F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by glomerular filtration. This applies to the aminoglycosides</w:t>
      </w:r>
      <w:r w:rsidR="00C4378F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and the urinary antiseptics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nalidixic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,</w:t>
      </w:r>
      <w:r w:rsidR="00C4378F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where therapeutic failure of urinary tract</w:t>
      </w:r>
      <w:r w:rsidR="00C4378F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infections may complicate severe renal failure.</w:t>
      </w:r>
    </w:p>
    <w:p w:rsidR="00C4378F" w:rsidRPr="004C5D96" w:rsidRDefault="00C4378F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Drug resistance</w:t>
      </w:r>
      <w:r w:rsidR="008B304E"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Drug resistance may be a natural or an acquired characteristic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of a microorganism. This may result from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impaired cell wall or cell envelope penetration, enzymatic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inactivation, altered binding sites or active extrusion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from the cell as a result of efflux mechanisms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. </w:t>
      </w:r>
      <w:r w:rsidR="008B304E" w:rsidRPr="004C5D96">
        <w:rPr>
          <w:rFonts w:ascii="Times New Roman" w:hAnsi="Times New Roman" w:cs="Times New Roman"/>
          <w:sz w:val="24"/>
          <w:szCs w:val="24"/>
        </w:rPr>
        <w:t>Knowledge of the local epidemiology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8B304E" w:rsidRPr="004C5D96">
        <w:rPr>
          <w:rFonts w:ascii="Times New Roman" w:hAnsi="Times New Roman" w:cs="Times New Roman"/>
          <w:sz w:val="24"/>
          <w:szCs w:val="24"/>
        </w:rPr>
        <w:t>of resistant pathogens within a hospital, and especially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8B304E" w:rsidRPr="004C5D96">
        <w:rPr>
          <w:rFonts w:ascii="Times New Roman" w:hAnsi="Times New Roman" w:cs="Times New Roman"/>
          <w:sz w:val="24"/>
          <w:szCs w:val="24"/>
        </w:rPr>
        <w:t>within high - dependency areas such as intensive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8B304E" w:rsidRPr="004C5D96">
        <w:rPr>
          <w:rFonts w:ascii="Times New Roman" w:hAnsi="Times New Roman" w:cs="Times New Roman"/>
          <w:sz w:val="24"/>
          <w:szCs w:val="24"/>
        </w:rPr>
        <w:t>care and hemodialysis units, is invaluable in guiding</w:t>
      </w:r>
      <w:r w:rsidR="008B304E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8B304E" w:rsidRPr="004C5D96">
        <w:rPr>
          <w:rFonts w:ascii="Times New Roman" w:hAnsi="Times New Roman" w:cs="Times New Roman"/>
          <w:sz w:val="24"/>
          <w:szCs w:val="24"/>
        </w:rPr>
        <w:t>appropriate drug selection.</w:t>
      </w:r>
    </w:p>
    <w:p w:rsidR="008B304E" w:rsidRPr="004C5D96" w:rsidRDefault="008B304E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Drug c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>ombinations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Antibiotics are generally used alone, but may on occasion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be prescribed in combination. Combining two antibiotics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may result in synergism, indifference or antagonism. In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 case of synergism, microbial inhibition is achieved at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concentrations below that for each agent alone and may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prove advantageous in treating relatively insusceptible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infections such as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enterococcal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endocarditis, where a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combination of penicillin and gentamicin is synergistically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active. Another advantage of synergistic combinations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is that it may enable the use of toxic agents where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dose reductions are possible. For example, meningitis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caused by the fungus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Cryptococcus </w:t>
      </w:r>
      <w:proofErr w:type="spellStart"/>
      <w:r w:rsidRPr="004C5D96">
        <w:rPr>
          <w:rFonts w:ascii="Times New Roman" w:hAnsi="Times New Roman" w:cs="Times New Roman"/>
          <w:i/>
          <w:iCs/>
          <w:sz w:val="24"/>
          <w:szCs w:val="24"/>
        </w:rPr>
        <w:t>neoformans</w:t>
      </w:r>
      <w:proofErr w:type="spellEnd"/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responds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to an abbreviated course of amphotericin B when it 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combined with 5 -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flucytosine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, thereby reducing the risk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of toxicity from amphotericin B.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Combined drug use is occasionally recommended to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prevent resistance emerging during treatment. For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example, treatment may fail when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fusidic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acid is used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alone to treat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Staph. </w:t>
      </w:r>
      <w:proofErr w:type="spellStart"/>
      <w:proofErr w:type="gramStart"/>
      <w:r w:rsidRPr="004C5D96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proofErr w:type="gramEnd"/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infections, because resistant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strains develop rapidly; this is prevented by combining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fusidic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acid with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flucloxacillin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. Likewise, tuberculosis 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initially treated with a minimum of three agents, such as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rifampicin, isoniazid and pyrazinamide; again drug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resistance is prevented, which may </w:t>
      </w:r>
      <w:r w:rsidRPr="004C5D96">
        <w:rPr>
          <w:rFonts w:ascii="Times New Roman" w:hAnsi="Times New Roman" w:cs="Times New Roman"/>
          <w:sz w:val="24"/>
          <w:szCs w:val="24"/>
        </w:rPr>
        <w:lastRenderedPageBreak/>
        <w:t>result if either agent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is used alone.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 most common reason for using combined therapy</w:t>
      </w:r>
      <w:r w:rsidRPr="004C5D96">
        <w:rPr>
          <w:rFonts w:ascii="Times New Roman" w:hAnsi="Times New Roman" w:cs="Times New Roman"/>
          <w:sz w:val="24"/>
          <w:szCs w:val="24"/>
        </w:rPr>
        <w:t xml:space="preserve"> is in the treatment of confi</w:t>
      </w:r>
      <w:r w:rsidRPr="004C5D96">
        <w:rPr>
          <w:rFonts w:ascii="Times New Roman" w:hAnsi="Times New Roman" w:cs="Times New Roman"/>
          <w:sz w:val="24"/>
          <w:szCs w:val="24"/>
        </w:rPr>
        <w:t>rmed or suspected mixed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infections where a single agent alone will fail to cover all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pathogenic organisms. This is the case in serious abdominal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sepsis where mixed aerobic and anaerobic infections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are common and the use of metronidazole in combination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with either an aminoglycoside or a broad </w:t>
      </w:r>
      <w:r w:rsidRPr="004C5D96">
        <w:rPr>
          <w:rFonts w:ascii="Times New Roman" w:hAnsi="Times New Roman" w:cs="Times New Roman"/>
          <w:sz w:val="24"/>
          <w:szCs w:val="24"/>
        </w:rPr>
        <w:t>–</w:t>
      </w:r>
      <w:r w:rsidRPr="004C5D96">
        <w:rPr>
          <w:rFonts w:ascii="Times New Roman" w:hAnsi="Times New Roman" w:cs="Times New Roman"/>
          <w:sz w:val="24"/>
          <w:szCs w:val="24"/>
        </w:rPr>
        <w:t xml:space="preserve"> spectrum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cephalosporin is essential. Finally, drugs are used in combination in patients who are seriously ill and about whom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uncertainty exists concerning the microbiological nature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of their infection. This initial ‘blind therapy’ frequently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includes a broad - spectrum penicillin or cephalosporin in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combination with an aminoglycoside. The regimen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should be modified in the light of subsequent microbiological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information.</w:t>
      </w:r>
    </w:p>
    <w:p w:rsidR="008B304E" w:rsidRPr="004C5D96" w:rsidRDefault="00954048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D96">
        <w:rPr>
          <w:rFonts w:ascii="Times New Roman" w:hAnsi="Times New Roman" w:cs="Times New Roman"/>
          <w:b/>
          <w:bCs/>
          <w:sz w:val="24"/>
          <w:szCs w:val="24"/>
        </w:rPr>
        <w:t>Adverse reactions</w:t>
      </w:r>
      <w:r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Regrettably, all chemotherapeutic agents have the potential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to produce adverse reactions with varying degrees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frequency and severity, and these include hypersensitivity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reactions and toxic effects. These may be dose - related and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predictable in a patient with a history of hypersensitivity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or a previous toxic reaction to a drug or its chemical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analogues. However, many adverse events are idiosyncratic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therefore unpredictable.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b/>
          <w:i/>
          <w:sz w:val="24"/>
          <w:szCs w:val="24"/>
        </w:rPr>
        <w:t>Hypersensitivity reactions</w:t>
      </w:r>
      <w:r w:rsidRPr="004C5D96">
        <w:rPr>
          <w:rFonts w:ascii="Times New Roman" w:hAnsi="Times New Roman" w:cs="Times New Roman"/>
          <w:sz w:val="24"/>
          <w:szCs w:val="24"/>
        </w:rPr>
        <w:t xml:space="preserve"> range in severity from fatal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anaphylaxis, in which there is widespread tissue edema,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airway obstruction and cardiovascular collapse, to minor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reversible hypersensitivity reactions such as skin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eruptions and drug fever. Such reactions are more likely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 those with a history of hypersensitivity to the drug,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are more frequent in patients with previous allergic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diseases such as childhood eczema or asthma. It is important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to question patients closely concerning hypersensitivity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reactions before prescribing, as it precludes the use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of all compounds within a class, such as the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sulphonamides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, while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carbapenems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should be used only with caution in patients who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are allergic to penicillin, because these agents are structurally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related. They should be avoided entirely in those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who have had a previous severe hypersensitivity reaction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to penicillin.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b/>
          <w:i/>
          <w:sz w:val="24"/>
          <w:szCs w:val="24"/>
        </w:rPr>
        <w:t>Drug toxicity</w:t>
      </w:r>
      <w:r w:rsidRPr="004C5D96">
        <w:rPr>
          <w:rFonts w:ascii="Times New Roman" w:hAnsi="Times New Roman" w:cs="Times New Roman"/>
          <w:sz w:val="24"/>
          <w:szCs w:val="24"/>
        </w:rPr>
        <w:t xml:space="preserve"> is often dose - related and may affect a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variety of organs or tissues. For example, the aminoglycosides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are both nephrotoxic and ototoxic to varying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degrees; therefore,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dosaging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should be individualized and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 serum assayed, especially where renal function is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abnormal, to avoid toxic effects and non </w:t>
      </w:r>
      <w:r w:rsidRPr="004C5D96">
        <w:rPr>
          <w:rFonts w:ascii="Times New Roman" w:hAnsi="Times New Roman" w:cs="Times New Roman"/>
          <w:sz w:val="24"/>
          <w:szCs w:val="24"/>
        </w:rPr>
        <w:t>–</w:t>
      </w:r>
      <w:r w:rsidRPr="004C5D96">
        <w:rPr>
          <w:rFonts w:ascii="Times New Roman" w:hAnsi="Times New Roman" w:cs="Times New Roman"/>
          <w:sz w:val="24"/>
          <w:szCs w:val="24"/>
        </w:rPr>
        <w:t xml:space="preserve"> therapeutic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drug concentrations. An example of dose - related toxicity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is chloramphenicol - induced bone marrow suppression.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Chloramphenicol interferes with the normal maturation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of bone marrow stem cells and high concentrations may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result in a steady fall in circulating red and white cells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also platelets. This effect is generally reversible with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dose reduction or drug withdrawal. </w:t>
      </w:r>
    </w:p>
    <w:p w:rsidR="00954048" w:rsidRPr="004C5D96" w:rsidRDefault="00954048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D96">
        <w:rPr>
          <w:rFonts w:ascii="Times New Roman" w:hAnsi="Times New Roman" w:cs="Times New Roman"/>
          <w:b/>
          <w:bCs/>
          <w:sz w:val="24"/>
          <w:szCs w:val="24"/>
        </w:rPr>
        <w:t>Superinfection</w:t>
      </w:r>
      <w:proofErr w:type="spellEnd"/>
      <w:r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Anti - infective drugs not only affect the invading organism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undergoing treatment but also have an impact on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normal bacterial flora, especially of the skin and mucous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membranes. This may result in microbial overgrowth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resistant organisms with subsequent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superinfection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. One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example is the common occurrence of oral or vaginal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candidiasis in patients treated with broad </w:t>
      </w:r>
      <w:r w:rsidRPr="004C5D96">
        <w:rPr>
          <w:rFonts w:ascii="Times New Roman" w:hAnsi="Times New Roman" w:cs="Times New Roman"/>
          <w:sz w:val="24"/>
          <w:szCs w:val="24"/>
        </w:rPr>
        <w:t>–</w:t>
      </w:r>
      <w:r w:rsidRPr="004C5D96">
        <w:rPr>
          <w:rFonts w:ascii="Times New Roman" w:hAnsi="Times New Roman" w:cs="Times New Roman"/>
          <w:sz w:val="24"/>
          <w:szCs w:val="24"/>
        </w:rPr>
        <w:t xml:space="preserve"> spectrum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agents such as ampicillin or tetracycline. A more serious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example is the development of pseudomembranous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colitis from the overgrowth of toxin - producing strains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Clostridium </w:t>
      </w:r>
      <w:proofErr w:type="spellStart"/>
      <w:r w:rsidRPr="004C5D96">
        <w:rPr>
          <w:rFonts w:ascii="Times New Roman" w:hAnsi="Times New Roman" w:cs="Times New Roman"/>
          <w:i/>
          <w:iCs/>
          <w:sz w:val="24"/>
          <w:szCs w:val="24"/>
        </w:rPr>
        <w:t>diffi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>cile</w:t>
      </w:r>
      <w:proofErr w:type="spellEnd"/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present in the bowel flora following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 use of clindamycin or broad - spectrum antibiotics,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though any antimicrobial can precipitate this condition.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4C5D96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- associated diarrh</w:t>
      </w:r>
      <w:r w:rsidRPr="004C5D96">
        <w:rPr>
          <w:rFonts w:ascii="Times New Roman" w:hAnsi="Times New Roman" w:cs="Times New Roman"/>
          <w:sz w:val="24"/>
          <w:szCs w:val="24"/>
        </w:rPr>
        <w:t>ea is managed by drug withdrawal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and oral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vancomycin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>, or oral/intravenous metronidazole.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Intravenous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immunoglogbulin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is occasionally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used in severe cases, and rarely, colectomy (excision of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part or whole of the colon) may be necessary. Once established,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5D96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Pr="004C5D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infection is transmissible, particularly in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the hospital setting; isolation of symptomatic patients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strict observation of hygiene practices (e.g. hand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washing) are therefore key in preventing outbreaks.</w:t>
      </w:r>
    </w:p>
    <w:p w:rsidR="00954048" w:rsidRPr="004C5D96" w:rsidRDefault="00954048" w:rsidP="004C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Chemoprophylaxis</w:t>
      </w:r>
      <w:r w:rsidR="004C5D96" w:rsidRPr="004C5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5D96">
        <w:rPr>
          <w:rFonts w:ascii="Times New Roman" w:hAnsi="Times New Roman" w:cs="Times New Roman"/>
          <w:sz w:val="24"/>
          <w:szCs w:val="24"/>
        </w:rPr>
        <w:t>An increasingly important use of antimicrobial agents is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that of infection prevention, especially in relationship to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surgery. Infection remains one of the most important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complications of many surgical procedures, and the recognition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that perioperative antibiotics are effective and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safe in preventing this complication has proved a major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advance in surgery. The principles that underlie the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chemoprophylactic</w:t>
      </w:r>
      <w:proofErr w:type="spellEnd"/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antibacterials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relate to the predictability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of infection for a particular surgical procedure, in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terms of its occurrence, microbial </w:t>
      </w:r>
      <w:proofErr w:type="spellStart"/>
      <w:r w:rsidRPr="004C5D96"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 w:rsidRPr="004C5D96">
        <w:rPr>
          <w:rFonts w:ascii="Times New Roman" w:hAnsi="Times New Roman" w:cs="Times New Roman"/>
          <w:sz w:val="24"/>
          <w:szCs w:val="24"/>
        </w:rPr>
        <w:t xml:space="preserve"> and susceptibility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to antibiotics. Therapeutic drug concentrations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present at the operative site at the time of surgery rapidly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 xml:space="preserve">reduce the number of </w:t>
      </w:r>
      <w:r w:rsidR="004C5D96" w:rsidRPr="004C5D96">
        <w:rPr>
          <w:rFonts w:ascii="Times New Roman" w:hAnsi="Times New Roman" w:cs="Times New Roman"/>
          <w:sz w:val="24"/>
          <w:szCs w:val="24"/>
        </w:rPr>
        <w:t>p</w:t>
      </w:r>
      <w:r w:rsidRPr="004C5D96">
        <w:rPr>
          <w:rFonts w:ascii="Times New Roman" w:hAnsi="Times New Roman" w:cs="Times New Roman"/>
          <w:sz w:val="24"/>
          <w:szCs w:val="24"/>
        </w:rPr>
        <w:t>otentially infectious organisms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and prevent wound sepsis. If prophylaxis is delayed to the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postoperative period, then efficacy is markedly impaired.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Pr="004C5D96">
        <w:rPr>
          <w:rFonts w:ascii="Times New Roman" w:hAnsi="Times New Roman" w:cs="Times New Roman"/>
          <w:sz w:val="24"/>
          <w:szCs w:val="24"/>
        </w:rPr>
        <w:t>It is important that chemoprophylaxis be limited to the</w:t>
      </w:r>
      <w:r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perioperative period, the first dose being administered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approximately 1 hour before surgery for injectable agents;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for many procedures and operative sites, a single dose is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now considered sufficient. Prolonging chemoprophylaxis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beyond this period is not cost - effective and increases the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risk of adverse drug reactions and </w:t>
      </w:r>
      <w:proofErr w:type="spellStart"/>
      <w:r w:rsidR="004C5D96" w:rsidRPr="004C5D96">
        <w:rPr>
          <w:rFonts w:ascii="Times New Roman" w:hAnsi="Times New Roman" w:cs="Times New Roman"/>
          <w:sz w:val="24"/>
          <w:szCs w:val="24"/>
        </w:rPr>
        <w:t>superinfection</w:t>
      </w:r>
      <w:proofErr w:type="spellEnd"/>
      <w:r w:rsidR="004C5D96" w:rsidRPr="004C5D96">
        <w:rPr>
          <w:rFonts w:ascii="Times New Roman" w:hAnsi="Times New Roman" w:cs="Times New Roman"/>
          <w:sz w:val="24"/>
          <w:szCs w:val="24"/>
        </w:rPr>
        <w:t>. One of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the best examples of the efficacy of surgical prophylaxis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is in the area of large - bowel surgery. Before the widespread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use of chemoprophylaxis, postoperative infection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rates for colectomy were often 30% or higher; these have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now been reduced to around 5%.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Chemoprophylaxis has been extended to other surgical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procedures where the risk of infection may be low but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its occurrence has serious consequences. This is especially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true for the implantation of prosthetic joints or heart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valves. These are major surgical procedures and although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infection may be infrequent its consequences are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serious and on balance the use of chemoprophylaxis is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cost - effective.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Examples of chemoprophylaxis in the non </w:t>
      </w:r>
      <w:r w:rsidR="004C5D96" w:rsidRPr="004C5D96">
        <w:rPr>
          <w:rFonts w:ascii="Times New Roman" w:hAnsi="Times New Roman" w:cs="Times New Roman"/>
          <w:sz w:val="24"/>
          <w:szCs w:val="24"/>
        </w:rPr>
        <w:t>–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surgical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arena include the prevention of pneumococcal infection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with penicillin V in </w:t>
      </w:r>
      <w:proofErr w:type="spellStart"/>
      <w:r w:rsidR="004C5D96" w:rsidRPr="004C5D96">
        <w:rPr>
          <w:rFonts w:ascii="Times New Roman" w:hAnsi="Times New Roman" w:cs="Times New Roman"/>
          <w:sz w:val="24"/>
          <w:szCs w:val="24"/>
        </w:rPr>
        <w:t>asplenia</w:t>
      </w:r>
      <w:proofErr w:type="spellEnd"/>
      <w:r w:rsidR="004C5D96" w:rsidRPr="004C5D96">
        <w:rPr>
          <w:rFonts w:ascii="Times New Roman" w:hAnsi="Times New Roman" w:cs="Times New Roman"/>
          <w:sz w:val="24"/>
          <w:szCs w:val="24"/>
        </w:rPr>
        <w:t xml:space="preserve"> or patients with sickle </w:t>
      </w:r>
      <w:r w:rsidR="004C5D96" w:rsidRPr="004C5D96">
        <w:rPr>
          <w:rFonts w:ascii="Times New Roman" w:hAnsi="Times New Roman" w:cs="Times New Roman"/>
          <w:sz w:val="24"/>
          <w:szCs w:val="24"/>
        </w:rPr>
        <w:t>–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cell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disease, and the prevention of secondary cases of meningococcal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meningitis with rifampicin or ciprofloxacin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  <w:r w:rsidR="004C5D96" w:rsidRPr="004C5D96">
        <w:rPr>
          <w:rFonts w:ascii="Times New Roman" w:hAnsi="Times New Roman" w:cs="Times New Roman"/>
          <w:sz w:val="24"/>
          <w:szCs w:val="24"/>
        </w:rPr>
        <w:t>among household contacts of an index case.</w:t>
      </w:r>
      <w:r w:rsidR="004C5D96" w:rsidRPr="004C5D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048" w:rsidRPr="004C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EE"/>
    <w:rsid w:val="00027DEE"/>
    <w:rsid w:val="00157B4F"/>
    <w:rsid w:val="003F3CE7"/>
    <w:rsid w:val="004C5D96"/>
    <w:rsid w:val="008B304E"/>
    <w:rsid w:val="00954048"/>
    <w:rsid w:val="00B2331B"/>
    <w:rsid w:val="00C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2017-10-26T07:38:00Z</dcterms:created>
  <dcterms:modified xsi:type="dcterms:W3CDTF">2017-10-26T09:06:00Z</dcterms:modified>
</cp:coreProperties>
</file>