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 BABALOLA UNIVERSITY ADO-EKITI (ABUAD)</w:t>
      </w:r>
    </w:p>
    <w:p w:rsid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SOCIAL AND MANAGEMENT</w:t>
      </w:r>
    </w:p>
    <w:p w:rsidR="003F66DD" w:rsidRDefault="00771D15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3F66DD">
        <w:rPr>
          <w:rFonts w:ascii="Times New Roman" w:hAnsi="Times New Roman" w:cs="Times New Roman"/>
          <w:sz w:val="24"/>
          <w:szCs w:val="24"/>
        </w:rPr>
        <w:t>SEMESTER: 2016/2017</w:t>
      </w:r>
    </w:p>
    <w:p w:rsid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AUDITING ASSURANCE &amp; FORENSIC ACCOUNTING</w:t>
      </w:r>
    </w:p>
    <w:p w:rsidR="003F66DD" w:rsidRDefault="00771D15" w:rsidP="0077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6DD">
        <w:rPr>
          <w:rFonts w:ascii="Times New Roman" w:hAnsi="Times New Roman" w:cs="Times New Roman"/>
          <w:sz w:val="24"/>
          <w:szCs w:val="24"/>
        </w:rPr>
        <w:t>COURSE CODE: ACC 405</w:t>
      </w:r>
    </w:p>
    <w:p w:rsidR="003F66DD" w:rsidRP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8666"/>
      </w:tblGrid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666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FOCUS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6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Quality Control including internal control system, Auditing in a Computerized Environment, Audit reports and Relevant Cases in Audit. 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6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="004F7C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auditing attest</w:t>
            </w:r>
            <w:r w:rsidR="004F7CA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and assurance services, information risk standard for assurance engagement including elements, types, levels and characterist</w:t>
            </w:r>
            <w:r w:rsidR="004F7CA6">
              <w:rPr>
                <w:rFonts w:ascii="Times New Roman" w:hAnsi="Times New Roman" w:cs="Times New Roman"/>
                <w:sz w:val="24"/>
                <w:szCs w:val="24"/>
              </w:rPr>
              <w:t>ics of auditing assurance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6" w:type="dxa"/>
          </w:tcPr>
          <w:p w:rsidR="003F66DD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management of professional office including partners’ relationship, staff management, negotiation skills for practitioners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6" w:type="dxa"/>
          </w:tcPr>
          <w:p w:rsidR="003F66DD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Sector Audit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6" w:type="dxa"/>
          </w:tcPr>
          <w:p w:rsidR="003F66DD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of special classes of companies, local and international legislation affecting audit, emerging issues in audit and assurance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6" w:type="dxa"/>
          </w:tcPr>
          <w:p w:rsidR="003F66DD" w:rsidRDefault="00F32ED2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forensic accounting, forensic audit &amp; forensic investigation, contrasting forensic audit and accounting, auditors and forensic accounting investigator</w:t>
            </w:r>
          </w:p>
        </w:tc>
      </w:tr>
      <w:tr w:rsidR="003F66DD" w:rsidTr="003F66DD">
        <w:tc>
          <w:tcPr>
            <w:tcW w:w="910" w:type="dxa"/>
          </w:tcPr>
          <w:p w:rsidR="003F66DD" w:rsidRDefault="003F66DD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6" w:type="dxa"/>
          </w:tcPr>
          <w:p w:rsidR="003F66DD" w:rsidRDefault="00F32ED2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fraud, including civil and criminal wrong, element of fraud and types of fraud</w:t>
            </w:r>
          </w:p>
        </w:tc>
      </w:tr>
      <w:tr w:rsidR="004F7CA6" w:rsidTr="003F66DD">
        <w:tc>
          <w:tcPr>
            <w:tcW w:w="910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6" w:type="dxa"/>
          </w:tcPr>
          <w:p w:rsidR="004F7CA6" w:rsidRDefault="00F32ED2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Misappropriation of assets including asset misappropriation schemes, circumstances for misappropriation of fraud and preventing misappropriation of fraud</w:t>
            </w:r>
          </w:p>
        </w:tc>
      </w:tr>
      <w:tr w:rsidR="004F7CA6" w:rsidTr="003F66DD">
        <w:tc>
          <w:tcPr>
            <w:tcW w:w="910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6" w:type="dxa"/>
          </w:tcPr>
          <w:p w:rsidR="004F7CA6" w:rsidRDefault="00F32ED2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statement fraud, factors that influence fraudulent financial reporting, warning signs/red signs indicating possible financial statement fraud</w:t>
            </w:r>
          </w:p>
        </w:tc>
      </w:tr>
      <w:tr w:rsidR="004F7CA6" w:rsidTr="003F66DD">
        <w:tc>
          <w:tcPr>
            <w:tcW w:w="910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6" w:type="dxa"/>
          </w:tcPr>
          <w:p w:rsidR="004F7CA6" w:rsidRDefault="004F7CA6" w:rsidP="004F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Fraud deterrence cycle, te</w:t>
            </w:r>
            <w:r w:rsidR="00F32ED2">
              <w:rPr>
                <w:rFonts w:ascii="Times New Roman" w:hAnsi="Times New Roman" w:cs="Times New Roman"/>
                <w:sz w:val="24"/>
                <w:szCs w:val="24"/>
              </w:rPr>
              <w:t>aming with forensic accounting, investigatio</w:t>
            </w:r>
            <w:r w:rsidR="00BE72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cooperation with internal auditing and external auditing, potential missteps when fraud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suspected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steps required in investigative process.</w:t>
            </w:r>
          </w:p>
        </w:tc>
      </w:tr>
      <w:bookmarkEnd w:id="0"/>
      <w:tr w:rsidR="004F7CA6" w:rsidTr="003F66DD">
        <w:tc>
          <w:tcPr>
            <w:tcW w:w="910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6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and why call in forensic accounting investigation including potential trigger points for fraud, forensic cases</w:t>
            </w:r>
          </w:p>
        </w:tc>
      </w:tr>
      <w:tr w:rsidR="004F7CA6" w:rsidTr="003F66DD">
        <w:tc>
          <w:tcPr>
            <w:tcW w:w="910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6" w:type="dxa"/>
          </w:tcPr>
          <w:p w:rsidR="004F7CA6" w:rsidRDefault="004F7CA6" w:rsidP="003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3F66DD" w:rsidRP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D15" w:rsidRDefault="00771D15" w:rsidP="00BE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72C6">
        <w:rPr>
          <w:rFonts w:ascii="Times New Roman" w:hAnsi="Times New Roman" w:cs="Times New Roman"/>
          <w:sz w:val="24"/>
          <w:szCs w:val="24"/>
        </w:rPr>
        <w:t xml:space="preserve"> Recommended Text books: </w:t>
      </w:r>
    </w:p>
    <w:p w:rsidR="00BE72C6" w:rsidRDefault="00BE72C6" w:rsidP="00BE72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15">
        <w:rPr>
          <w:rFonts w:ascii="Times New Roman" w:hAnsi="Times New Roman" w:cs="Times New Roman"/>
          <w:sz w:val="24"/>
          <w:szCs w:val="24"/>
        </w:rPr>
        <w:t xml:space="preserve">Auditing </w:t>
      </w:r>
      <w:r w:rsidR="00771D15" w:rsidRPr="00771D15">
        <w:rPr>
          <w:rFonts w:ascii="Times New Roman" w:hAnsi="Times New Roman" w:cs="Times New Roman"/>
          <w:sz w:val="24"/>
          <w:szCs w:val="24"/>
        </w:rPr>
        <w:t>&amp;Assurance with Multiple Question &amp; Answer-Adeniyi</w:t>
      </w:r>
    </w:p>
    <w:p w:rsidR="00771D15" w:rsidRPr="00771D15" w:rsidRDefault="00771D15" w:rsidP="00BE72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 Accounting by Kranachar, Riley &amp; Wells (2011)</w:t>
      </w:r>
    </w:p>
    <w:p w:rsidR="00771D15" w:rsidRDefault="00771D15" w:rsidP="00BE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71D15" w:rsidRDefault="00771D15" w:rsidP="00BE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E72C6" w:rsidRPr="003F66DD" w:rsidRDefault="00771D15" w:rsidP="00BE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</w:t>
      </w:r>
      <w:r w:rsidR="00DE0BEF">
        <w:rPr>
          <w:rFonts w:ascii="Times New Roman" w:hAnsi="Times New Roman" w:cs="Times New Roman"/>
          <w:sz w:val="24"/>
          <w:szCs w:val="24"/>
        </w:rPr>
        <w:t>RER:  BABATUNDE, D.A, PH.D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FCCA</w:t>
      </w:r>
      <w:r w:rsidR="00DE0BEF">
        <w:rPr>
          <w:rFonts w:ascii="Times New Roman" w:hAnsi="Times New Roman" w:cs="Times New Roman"/>
          <w:sz w:val="24"/>
          <w:szCs w:val="24"/>
        </w:rPr>
        <w:t>, FR, FCIA, CFA</w:t>
      </w:r>
    </w:p>
    <w:p w:rsidR="00BE72C6" w:rsidRDefault="00BE72C6" w:rsidP="00BE72C6"/>
    <w:p w:rsidR="003F66DD" w:rsidRPr="003F66DD" w:rsidRDefault="003F66DD" w:rsidP="003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66DD" w:rsidRPr="003F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5ED0"/>
    <w:multiLevelType w:val="hybridMultilevel"/>
    <w:tmpl w:val="01C09A6A"/>
    <w:lvl w:ilvl="0" w:tplc="BBAC4E5E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D"/>
    <w:rsid w:val="003F66DD"/>
    <w:rsid w:val="004F7CA6"/>
    <w:rsid w:val="00771D15"/>
    <w:rsid w:val="00AC52CB"/>
    <w:rsid w:val="00BE72C6"/>
    <w:rsid w:val="00D15B70"/>
    <w:rsid w:val="00D46359"/>
    <w:rsid w:val="00DE0BEF"/>
    <w:rsid w:val="00DF53F8"/>
    <w:rsid w:val="00EE638D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</dc:creator>
  <cp:lastModifiedBy>DR adebola</cp:lastModifiedBy>
  <cp:revision>5</cp:revision>
  <dcterms:created xsi:type="dcterms:W3CDTF">2016-10-03T12:54:00Z</dcterms:created>
  <dcterms:modified xsi:type="dcterms:W3CDTF">2017-09-18T10:38:00Z</dcterms:modified>
</cp:coreProperties>
</file>