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9179" w14:textId="77777777" w:rsidR="00C8005A" w:rsidRPr="00480E02" w:rsidRDefault="00C8005A" w:rsidP="00C8005A">
      <w:pPr>
        <w:pStyle w:val="Heading2"/>
        <w:spacing w:line="360" w:lineRule="auto"/>
      </w:pPr>
      <w:bookmarkStart w:id="0" w:name="_Toc530150349"/>
      <w:proofErr w:type="spellStart"/>
      <w:r w:rsidRPr="00480E02">
        <w:t>Mold</w:t>
      </w:r>
      <w:proofErr w:type="spellEnd"/>
      <w:r w:rsidRPr="00480E02">
        <w:t xml:space="preserve"> contamination of agricultural products</w:t>
      </w:r>
      <w:bookmarkEnd w:id="0"/>
      <w:r w:rsidRPr="00480E02">
        <w:t xml:space="preserve"> </w:t>
      </w:r>
    </w:p>
    <w:p w14:paraId="258FC07A" w14:textId="49D84E9B" w:rsidR="00C8005A" w:rsidRPr="00480E02" w:rsidRDefault="00C8005A" w:rsidP="00C8005A">
      <w:pPr>
        <w:spacing w:line="360" w:lineRule="auto"/>
        <w:jc w:val="both"/>
        <w:rPr>
          <w:rFonts w:cs="Times New Roman"/>
          <w:szCs w:val="24"/>
        </w:rPr>
      </w:pPr>
      <w:r w:rsidRPr="00480E02">
        <w:rPr>
          <w:rFonts w:cs="Times New Roman"/>
          <w:szCs w:val="24"/>
        </w:rPr>
        <w:t>A major problem associated with the utilization of agricultural crops is contamination by toxigenic</w:t>
      </w:r>
      <w:r w:rsidR="00A14F66" w:rsidRPr="00480E02">
        <w:rPr>
          <w:rFonts w:cs="Times New Roman"/>
          <w:szCs w:val="24"/>
        </w:rPr>
        <w:t xml:space="preserve"> </w:t>
      </w:r>
      <w:proofErr w:type="spellStart"/>
      <w:r w:rsidR="00A14F66" w:rsidRPr="00480E02">
        <w:rPr>
          <w:rFonts w:cs="Times New Roman"/>
          <w:szCs w:val="24"/>
        </w:rPr>
        <w:t>molds</w:t>
      </w:r>
      <w:proofErr w:type="spellEnd"/>
      <w:r w:rsidRPr="00480E02">
        <w:rPr>
          <w:rFonts w:cs="Times New Roman"/>
          <w:szCs w:val="24"/>
        </w:rPr>
        <w:t xml:space="preserve">. </w:t>
      </w:r>
      <w:proofErr w:type="spellStart"/>
      <w:r w:rsidRPr="00480E02">
        <w:rPr>
          <w:rFonts w:cs="Times New Roman"/>
          <w:szCs w:val="24"/>
        </w:rPr>
        <w:t>Molds</w:t>
      </w:r>
      <w:proofErr w:type="spellEnd"/>
      <w:r w:rsidRPr="00480E02">
        <w:rPr>
          <w:rFonts w:cs="Times New Roman"/>
          <w:szCs w:val="24"/>
        </w:rPr>
        <w:t xml:space="preserve"> are ubiquitous organisms that grow almost everywhere. Given suitable temperature and humidity conditions, </w:t>
      </w:r>
      <w:proofErr w:type="spellStart"/>
      <w:r w:rsidRPr="00480E02">
        <w:rPr>
          <w:rFonts w:cs="Times New Roman"/>
          <w:szCs w:val="24"/>
        </w:rPr>
        <w:t>molds</w:t>
      </w:r>
      <w:proofErr w:type="spellEnd"/>
      <w:r w:rsidRPr="00480E02">
        <w:rPr>
          <w:rFonts w:cs="Times New Roman"/>
          <w:szCs w:val="24"/>
        </w:rPr>
        <w:t xml:space="preserve"> can grow and produce mycotoxins, toxigenic secondary metabolites, on agricultural crops before harvesting, during storage or transport. </w:t>
      </w:r>
      <w:proofErr w:type="spellStart"/>
      <w:r w:rsidRPr="00480E02">
        <w:rPr>
          <w:rFonts w:cs="Times New Roman"/>
          <w:szCs w:val="24"/>
        </w:rPr>
        <w:t>Mold</w:t>
      </w:r>
      <w:proofErr w:type="spellEnd"/>
      <w:r w:rsidRPr="00480E02">
        <w:rPr>
          <w:rFonts w:cs="Times New Roman"/>
          <w:szCs w:val="24"/>
        </w:rPr>
        <w:t xml:space="preserve"> damage during grain storage ranks second after damage caused by insect pests. </w:t>
      </w:r>
    </w:p>
    <w:p w14:paraId="16D7C2EB" w14:textId="77777777" w:rsidR="00C8005A" w:rsidRPr="00480E02" w:rsidRDefault="00C8005A" w:rsidP="00C8005A">
      <w:pPr>
        <w:spacing w:line="360" w:lineRule="auto"/>
        <w:jc w:val="both"/>
        <w:rPr>
          <w:rFonts w:cs="Times New Roman"/>
          <w:szCs w:val="24"/>
        </w:rPr>
      </w:pPr>
    </w:p>
    <w:p w14:paraId="6E5D667E" w14:textId="37FED06F" w:rsidR="00C8005A" w:rsidRPr="00480E02" w:rsidRDefault="00C8005A" w:rsidP="00C8005A">
      <w:pPr>
        <w:spacing w:line="360" w:lineRule="auto"/>
        <w:jc w:val="both"/>
        <w:rPr>
          <w:rFonts w:cs="Times New Roman"/>
          <w:szCs w:val="24"/>
        </w:rPr>
      </w:pPr>
      <w:r w:rsidRPr="00480E02">
        <w:rPr>
          <w:rFonts w:cs="Times New Roman"/>
          <w:szCs w:val="24"/>
        </w:rPr>
        <w:t xml:space="preserve">Fungal toxins, one of the most dangerous contaminants of food and feed have been detected in many food commodities world over. Mycotoxins affect cereals such as maize, wheat, oats, barley, rice; seeds, nuts, peanuts, beans, cassava, fodder and feed intended for animal consumption as well as milk and dairy products. However, not all </w:t>
      </w:r>
      <w:proofErr w:type="spellStart"/>
      <w:r w:rsidRPr="00480E02">
        <w:rPr>
          <w:rFonts w:cs="Times New Roman"/>
          <w:szCs w:val="24"/>
        </w:rPr>
        <w:t>molds</w:t>
      </w:r>
      <w:proofErr w:type="spellEnd"/>
      <w:r w:rsidRPr="00480E02">
        <w:rPr>
          <w:rFonts w:cs="Times New Roman"/>
          <w:szCs w:val="24"/>
        </w:rPr>
        <w:t xml:space="preserve"> are toxigenic and not all secondary metabolites from </w:t>
      </w:r>
      <w:proofErr w:type="spellStart"/>
      <w:r w:rsidRPr="00480E02">
        <w:rPr>
          <w:rFonts w:cs="Times New Roman"/>
          <w:szCs w:val="24"/>
        </w:rPr>
        <w:t>molds</w:t>
      </w:r>
      <w:proofErr w:type="spellEnd"/>
      <w:r w:rsidRPr="00480E02">
        <w:rPr>
          <w:rFonts w:cs="Times New Roman"/>
          <w:szCs w:val="24"/>
        </w:rPr>
        <w:t xml:space="preserve"> are toxic. Similarly, although all mycotoxins are metabolites of fungi, not all toxic substances synthesized by fungi is termed mycotoxin. </w:t>
      </w:r>
      <w:proofErr w:type="spellStart"/>
      <w:r w:rsidRPr="00480E02">
        <w:rPr>
          <w:rFonts w:cs="Times New Roman"/>
          <w:szCs w:val="24"/>
        </w:rPr>
        <w:t>Molds</w:t>
      </w:r>
      <w:proofErr w:type="spellEnd"/>
      <w:r w:rsidRPr="00480E02">
        <w:rPr>
          <w:rFonts w:cs="Times New Roman"/>
          <w:szCs w:val="24"/>
        </w:rPr>
        <w:t xml:space="preserve"> belonging to </w:t>
      </w:r>
      <w:r w:rsidRPr="00480E02">
        <w:rPr>
          <w:rFonts w:cs="Times New Roman"/>
          <w:i/>
          <w:szCs w:val="24"/>
        </w:rPr>
        <w:t>Aspergillus</w:t>
      </w:r>
      <w:r w:rsidRPr="00480E02">
        <w:rPr>
          <w:rFonts w:cs="Times New Roman"/>
          <w:szCs w:val="24"/>
        </w:rPr>
        <w:t xml:space="preserve">, </w:t>
      </w:r>
      <w:r w:rsidRPr="00480E02">
        <w:rPr>
          <w:rFonts w:cs="Times New Roman"/>
          <w:i/>
          <w:szCs w:val="24"/>
        </w:rPr>
        <w:t xml:space="preserve">Penicillium </w:t>
      </w:r>
      <w:r w:rsidRPr="00480E02">
        <w:rPr>
          <w:rFonts w:cs="Times New Roman"/>
          <w:szCs w:val="24"/>
        </w:rPr>
        <w:t xml:space="preserve">and </w:t>
      </w:r>
      <w:r w:rsidRPr="00480E02">
        <w:rPr>
          <w:rFonts w:cs="Times New Roman"/>
          <w:i/>
          <w:szCs w:val="24"/>
        </w:rPr>
        <w:t>Fusarium</w:t>
      </w:r>
      <w:r w:rsidRPr="00480E02">
        <w:rPr>
          <w:rFonts w:cs="Times New Roman"/>
          <w:szCs w:val="24"/>
        </w:rPr>
        <w:t xml:space="preserve"> also known as field fungi, are the producers of majority of mycotoxins of significant effect on health of human and animals. </w:t>
      </w:r>
      <w:proofErr w:type="spellStart"/>
      <w:r w:rsidRPr="00480E02">
        <w:rPr>
          <w:rFonts w:cs="Times New Roman"/>
          <w:szCs w:val="24"/>
        </w:rPr>
        <w:t>Mold</w:t>
      </w:r>
      <w:proofErr w:type="spellEnd"/>
      <w:r w:rsidRPr="00480E02">
        <w:rPr>
          <w:rFonts w:cs="Times New Roman"/>
          <w:szCs w:val="24"/>
        </w:rPr>
        <w:t xml:space="preserve"> contamination in foods does not always correlate with mycotoxin production as </w:t>
      </w:r>
      <w:proofErr w:type="spellStart"/>
      <w:r w:rsidRPr="00480E02">
        <w:rPr>
          <w:rFonts w:cs="Times New Roman"/>
          <w:szCs w:val="24"/>
        </w:rPr>
        <w:t>molds</w:t>
      </w:r>
      <w:proofErr w:type="spellEnd"/>
      <w:r w:rsidRPr="00480E02">
        <w:rPr>
          <w:rFonts w:cs="Times New Roman"/>
          <w:szCs w:val="24"/>
        </w:rPr>
        <w:t xml:space="preserve"> may be present in commodities without producing toxins. </w:t>
      </w:r>
    </w:p>
    <w:p w14:paraId="1031E7A9" w14:textId="77777777" w:rsidR="00C8005A" w:rsidRPr="00480E02" w:rsidRDefault="00C8005A" w:rsidP="00C8005A">
      <w:pPr>
        <w:spacing w:line="360" w:lineRule="auto"/>
        <w:jc w:val="both"/>
        <w:rPr>
          <w:rFonts w:cs="Times New Roman"/>
          <w:szCs w:val="24"/>
        </w:rPr>
      </w:pPr>
    </w:p>
    <w:p w14:paraId="659109D8" w14:textId="45568E10" w:rsidR="00C8005A" w:rsidRPr="00480E02" w:rsidRDefault="00C8005A" w:rsidP="00C8005A">
      <w:pPr>
        <w:spacing w:line="360" w:lineRule="auto"/>
        <w:jc w:val="both"/>
        <w:rPr>
          <w:rFonts w:cs="Times New Roman"/>
          <w:szCs w:val="24"/>
        </w:rPr>
      </w:pPr>
      <w:proofErr w:type="spellStart"/>
      <w:r w:rsidRPr="00480E02">
        <w:rPr>
          <w:rFonts w:cs="Times New Roman"/>
          <w:szCs w:val="24"/>
        </w:rPr>
        <w:t>Mold</w:t>
      </w:r>
      <w:proofErr w:type="spellEnd"/>
      <w:r w:rsidRPr="00480E02">
        <w:rPr>
          <w:rFonts w:cs="Times New Roman"/>
          <w:szCs w:val="24"/>
        </w:rPr>
        <w:t xml:space="preserve"> contamination and subsequent mycotoxin occurrence may become inevitable under certain environmental conditions. For example, countries in Asia and Africa experience high temperature (26‒39°C) and high relative humidity (67‒98%) which support the growth of mycotoxigenic fungi on agricultural crops and consequently the production of mycotoxins on these crops. Fungal growth and the risk of mycotoxin contamination in agricultural products is further encouraged by poor harvesting practices, improper drying, handling, packaging, storage, and transport conditions. Contamination may be directly when the food or feed become infected by a toxigenic fungus and formation of mycotoxin occurs, or indirectly when a previously contaminated food or product has been processed to eliminate the fungus but the mycotoxin remains in the final product. </w:t>
      </w:r>
    </w:p>
    <w:p w14:paraId="0833A04E" w14:textId="77777777" w:rsidR="00C8005A" w:rsidRPr="00480E02" w:rsidRDefault="00C8005A" w:rsidP="00C8005A">
      <w:pPr>
        <w:spacing w:line="360" w:lineRule="auto"/>
        <w:jc w:val="both"/>
        <w:rPr>
          <w:rFonts w:cs="Times New Roman"/>
          <w:szCs w:val="24"/>
        </w:rPr>
      </w:pPr>
    </w:p>
    <w:p w14:paraId="7FC0E81C" w14:textId="0A4C5DA3" w:rsidR="001D7233" w:rsidRPr="00480E02" w:rsidRDefault="00C8005A" w:rsidP="001D7233">
      <w:pPr>
        <w:spacing w:line="360" w:lineRule="auto"/>
        <w:jc w:val="both"/>
        <w:rPr>
          <w:rFonts w:cs="Times New Roman"/>
          <w:szCs w:val="24"/>
        </w:rPr>
      </w:pPr>
      <w:r w:rsidRPr="00480E02">
        <w:rPr>
          <w:rFonts w:cs="Times New Roman"/>
          <w:szCs w:val="24"/>
        </w:rPr>
        <w:t>Survival and growth of spoilage, pathogenic microorganisms on foods and food ingredients are affected by storage temperature and relative humidity. However, the requirements for toxin synthesis and optimal growth differ among fungi, even within the same genus. Fungi grow between 10 and 40°C, over a pH range of 4‒8, and at a water activity level (a</w:t>
      </w:r>
      <w:r w:rsidRPr="00480E02">
        <w:rPr>
          <w:rFonts w:cs="Times New Roman"/>
          <w:szCs w:val="24"/>
          <w:vertAlign w:val="subscript"/>
        </w:rPr>
        <w:t>w</w:t>
      </w:r>
      <w:r w:rsidRPr="00480E02">
        <w:rPr>
          <w:rFonts w:cs="Times New Roman"/>
          <w:szCs w:val="24"/>
        </w:rPr>
        <w:t xml:space="preserve">) above 0.70. </w:t>
      </w:r>
      <w:bookmarkStart w:id="1" w:name="_Toc530150350"/>
    </w:p>
    <w:p w14:paraId="7D296DD6" w14:textId="461DC950" w:rsidR="00C8005A" w:rsidRPr="00480E02" w:rsidRDefault="00C8005A" w:rsidP="001D7233">
      <w:pPr>
        <w:spacing w:line="360" w:lineRule="auto"/>
        <w:jc w:val="both"/>
        <w:rPr>
          <w:b/>
        </w:rPr>
      </w:pPr>
      <w:r w:rsidRPr="00480E02">
        <w:rPr>
          <w:b/>
        </w:rPr>
        <w:lastRenderedPageBreak/>
        <w:t>Mycotoxins in food and feed</w:t>
      </w:r>
      <w:bookmarkEnd w:id="1"/>
    </w:p>
    <w:p w14:paraId="3967B4D6" w14:textId="26958983" w:rsidR="00C8005A" w:rsidRPr="00480E02" w:rsidRDefault="00C8005A" w:rsidP="00C8005A">
      <w:pPr>
        <w:spacing w:line="360" w:lineRule="auto"/>
        <w:jc w:val="both"/>
        <w:rPr>
          <w:rFonts w:cs="Times New Roman"/>
          <w:szCs w:val="24"/>
        </w:rPr>
      </w:pPr>
      <w:r w:rsidRPr="00480E02">
        <w:rPr>
          <w:rFonts w:cs="Times New Roman"/>
          <w:szCs w:val="24"/>
        </w:rPr>
        <w:t xml:space="preserve">Mycotoxin is derived from two words, a Greek word </w:t>
      </w:r>
      <w:proofErr w:type="spellStart"/>
      <w:r w:rsidRPr="00480E02">
        <w:rPr>
          <w:rFonts w:cs="Times New Roman"/>
          <w:i/>
          <w:szCs w:val="24"/>
        </w:rPr>
        <w:t>mukes</w:t>
      </w:r>
      <w:proofErr w:type="spellEnd"/>
      <w:r w:rsidRPr="00480E02">
        <w:rPr>
          <w:rFonts w:cs="Times New Roman"/>
          <w:szCs w:val="24"/>
        </w:rPr>
        <w:t xml:space="preserve"> meaning fungi and a Latin word </w:t>
      </w:r>
      <w:proofErr w:type="spellStart"/>
      <w:r w:rsidRPr="00480E02">
        <w:rPr>
          <w:rFonts w:cs="Times New Roman"/>
          <w:i/>
          <w:szCs w:val="24"/>
        </w:rPr>
        <w:t>toxicum</w:t>
      </w:r>
      <w:proofErr w:type="spellEnd"/>
      <w:r w:rsidRPr="00480E02">
        <w:rPr>
          <w:rFonts w:cs="Times New Roman"/>
          <w:szCs w:val="24"/>
        </w:rPr>
        <w:t xml:space="preserve"> referring to poison. They are large molecules, heat stable and not significantly volatile; and are carried over into processed foods due to their stability. Their structures vary from simple heterocyclic rings to groups with molecular weights ranging from 50 to 500 Da. </w:t>
      </w:r>
    </w:p>
    <w:p w14:paraId="5A914697" w14:textId="77777777" w:rsidR="00C8005A" w:rsidRPr="00480E02" w:rsidRDefault="00C8005A" w:rsidP="00C8005A">
      <w:pPr>
        <w:spacing w:line="360" w:lineRule="auto"/>
        <w:jc w:val="both"/>
        <w:rPr>
          <w:rFonts w:cs="Times New Roman"/>
          <w:szCs w:val="24"/>
        </w:rPr>
      </w:pPr>
    </w:p>
    <w:p w14:paraId="124DE853" w14:textId="2E251710" w:rsidR="00C8005A" w:rsidRPr="00480E02" w:rsidRDefault="00C8005A" w:rsidP="00C8005A">
      <w:pPr>
        <w:spacing w:line="360" w:lineRule="auto"/>
        <w:jc w:val="both"/>
        <w:rPr>
          <w:rFonts w:cs="Times New Roman"/>
          <w:szCs w:val="24"/>
        </w:rPr>
      </w:pPr>
      <w:r w:rsidRPr="00480E02">
        <w:rPr>
          <w:rFonts w:cs="Times New Roman"/>
          <w:szCs w:val="24"/>
        </w:rPr>
        <w:t xml:space="preserve">Contamination by mycotoxin-producing fungi result in wastage of massive amount of foods annually. The Food and Agricultural Organization of the United Nations has estimated that 25% of the world’s food crops are contaminated by </w:t>
      </w:r>
      <w:proofErr w:type="spellStart"/>
      <w:r w:rsidRPr="00480E02">
        <w:rPr>
          <w:rFonts w:cs="Times New Roman"/>
          <w:szCs w:val="24"/>
        </w:rPr>
        <w:t>molds</w:t>
      </w:r>
      <w:proofErr w:type="spellEnd"/>
      <w:r w:rsidRPr="00480E02">
        <w:rPr>
          <w:rFonts w:cs="Times New Roman"/>
          <w:szCs w:val="24"/>
        </w:rPr>
        <w:t xml:space="preserve"> and become affected by</w:t>
      </w:r>
      <w:r w:rsidR="003D681C" w:rsidRPr="00480E02">
        <w:rPr>
          <w:rFonts w:cs="Times New Roman"/>
          <w:szCs w:val="24"/>
        </w:rPr>
        <w:t xml:space="preserve"> mycotoxins, translating to </w:t>
      </w:r>
      <w:r w:rsidRPr="00480E02">
        <w:rPr>
          <w:rFonts w:cs="Times New Roman"/>
          <w:szCs w:val="24"/>
        </w:rPr>
        <w:t xml:space="preserve">loss of billions of dollars annually. Mycotoxin contamination results in loss to crop producers and sellers who will be required to give market discounts for the contaminated products or disposal of such products in cases of severe contamination. It can also lead to loss of business, product recall and thereby adversely affecting international trade </w:t>
      </w:r>
      <w:r w:rsidRPr="00480E02">
        <w:rPr>
          <w:rFonts w:cs="Times New Roman"/>
          <w:szCs w:val="24"/>
        </w:rPr>
        <w:fldChar w:fldCharType="begin"/>
      </w:r>
      <w:r w:rsidRPr="00480E02">
        <w:rPr>
          <w:rFonts w:cs="Times New Roman"/>
          <w:szCs w:val="24"/>
        </w:rPr>
        <w:instrText xml:space="preserve"> ADDIN EN.CITE &lt;EndNote&gt;&lt;Cite&gt;&lt;Author&gt;Afsah</w:instrText>
      </w:r>
      <w:r w:rsidRPr="00480E02">
        <w:rPr>
          <w:rFonts w:ascii="Cambria Math" w:hAnsi="Cambria Math" w:cs="Cambria Math"/>
          <w:szCs w:val="24"/>
        </w:rPr>
        <w:instrText>‐</w:instrText>
      </w:r>
      <w:r w:rsidRPr="00480E02">
        <w:rPr>
          <w:rFonts w:cs="Times New Roman"/>
          <w:szCs w:val="24"/>
        </w:rPr>
        <w:instrText>Hejri&lt;/Author&gt;&lt;Year&gt;2013&lt;/Year&gt;&lt;RecNum&gt;273&lt;/RecNum&gt;&lt;DisplayText&gt;(Afsah</w:instrText>
      </w:r>
      <w:r w:rsidRPr="00480E02">
        <w:rPr>
          <w:rFonts w:ascii="Cambria Math" w:hAnsi="Cambria Math" w:cs="Cambria Math"/>
          <w:szCs w:val="24"/>
        </w:rPr>
        <w:instrText>‐</w:instrText>
      </w:r>
      <w:r w:rsidRPr="00480E02">
        <w:rPr>
          <w:rFonts w:cs="Times New Roman"/>
          <w:szCs w:val="24"/>
        </w:rPr>
        <w:instrText>Hejri&lt;style face="italic"&gt; et al.&lt;/style&gt;, 2013)&lt;/DisplayText&gt;&lt;record&gt;&lt;rec-number&gt;273&lt;/rec-number&gt;&lt;foreign-keys&gt;&lt;key app="EN" db-id="drvxdz2aprzew7e0tf2p2xdp0we29f5txv2f" timestamp="1532537665"&gt;273&lt;/key&gt;&lt;key app="ENWeb" db-id=""&gt;0&lt;/key&gt;&lt;/foreign-keys&gt;&lt;ref-type name="Journal Article"&gt;17&lt;/ref-type&gt;&lt;contributors&gt;&lt;authors&gt;&lt;author&gt;Afsah</w:instrText>
      </w:r>
      <w:r w:rsidRPr="00480E02">
        <w:rPr>
          <w:rFonts w:ascii="Cambria Math" w:hAnsi="Cambria Math" w:cs="Cambria Math"/>
          <w:szCs w:val="24"/>
        </w:rPr>
        <w:instrText>‐</w:instrText>
      </w:r>
      <w:r w:rsidRPr="00480E02">
        <w:rPr>
          <w:rFonts w:cs="Times New Roman"/>
          <w:szCs w:val="24"/>
        </w:rPr>
        <w:instrText>Hejri, Leili&lt;/author&gt;&lt;author&gt;Jinap, S&lt;/author&gt;&lt;author&gt;Hajeb, Parvaneh&lt;/author&gt;&lt;author&gt;Radu, Son&lt;/author&gt;&lt;author&gt;Shakibazadeh, Sh&lt;/author&gt;&lt;/authors&gt;&lt;/contributors&gt;&lt;titles&gt;&lt;title&gt;A review on mycotoxins in food and feed: Malaysia case study&lt;/title&gt;&lt;secondary-title&gt;Comprehensive Reviews in Food Science and Food Safety&lt;/secondary-title&gt;&lt;/titles&gt;&lt;periodical&gt;&lt;full-title&gt;Comprehensive Reviews in Food Science and Food Safety&lt;/full-title&gt;&lt;/periodical&gt;&lt;pages&gt;629‒651&lt;/pages&gt;&lt;volume&gt;12&lt;/volume&gt;&lt;number&gt;6&lt;/number&gt;&lt;dates&gt;&lt;year&gt;2013&lt;/year&gt;&lt;/dates&gt;&lt;isbn&gt;1541-4337&lt;/isbn&gt;&lt;urls&gt;&lt;/urls&gt;&lt;electronic-resource-num&gt;10.1111/1541-4337.12029&lt;/electronic-resource-num&gt;&lt;/record&gt;&lt;/Cite&gt;&lt;/EndNote&gt;</w:instrText>
      </w:r>
      <w:r w:rsidRPr="00480E02">
        <w:rPr>
          <w:rFonts w:cs="Times New Roman"/>
          <w:szCs w:val="24"/>
        </w:rPr>
        <w:fldChar w:fldCharType="end"/>
      </w:r>
      <w:r w:rsidRPr="00480E02">
        <w:rPr>
          <w:rFonts w:cs="Times New Roman"/>
          <w:szCs w:val="24"/>
        </w:rPr>
        <w:t xml:space="preserve">. About 4.5 billion persons in developing countries are exposed to unchecked amounts of mycotoxins yearly. The ingestion in high quantities or over a long period of time </w:t>
      </w:r>
      <w:proofErr w:type="gramStart"/>
      <w:r w:rsidRPr="00480E02">
        <w:rPr>
          <w:rFonts w:cs="Times New Roman"/>
          <w:szCs w:val="24"/>
        </w:rPr>
        <w:t xml:space="preserve">of  </w:t>
      </w:r>
      <w:proofErr w:type="spellStart"/>
      <w:r w:rsidRPr="00480E02">
        <w:rPr>
          <w:rFonts w:cs="Times New Roman"/>
          <w:szCs w:val="24"/>
        </w:rPr>
        <w:t>mold</w:t>
      </w:r>
      <w:proofErr w:type="spellEnd"/>
      <w:proofErr w:type="gramEnd"/>
      <w:r w:rsidRPr="00480E02">
        <w:rPr>
          <w:rFonts w:cs="Times New Roman"/>
          <w:szCs w:val="24"/>
        </w:rPr>
        <w:t>-contaminated foods may become harmful.</w:t>
      </w:r>
    </w:p>
    <w:p w14:paraId="51D666FB" w14:textId="77777777" w:rsidR="00C8005A" w:rsidRPr="00480E02" w:rsidRDefault="00C8005A" w:rsidP="00C8005A">
      <w:pPr>
        <w:spacing w:line="360" w:lineRule="auto"/>
        <w:jc w:val="both"/>
        <w:rPr>
          <w:rFonts w:cs="Times New Roman"/>
          <w:szCs w:val="24"/>
        </w:rPr>
      </w:pPr>
    </w:p>
    <w:p w14:paraId="2939992E" w14:textId="26562FB8" w:rsidR="00C8005A" w:rsidRPr="00480E02" w:rsidRDefault="00C8005A" w:rsidP="00C8005A">
      <w:pPr>
        <w:spacing w:line="360" w:lineRule="auto"/>
        <w:jc w:val="both"/>
        <w:rPr>
          <w:rFonts w:cs="Times New Roman"/>
          <w:szCs w:val="24"/>
        </w:rPr>
      </w:pPr>
      <w:r w:rsidRPr="00480E02">
        <w:rPr>
          <w:rFonts w:cs="Times New Roman"/>
          <w:szCs w:val="24"/>
        </w:rPr>
        <w:t>Mycotoxins can be inhaled, ingested or absorbed through the skin.  Mycotoxicosis is a disease condition resulting from ingestion of food contaminated with mycotoxins and it has been linked to many human diseases. It may have chronic effects leading to cancer, immune suppression, and other ‘slow’ pathological conditions. Acute mycotoxicosis results in death. Aflatoxins produce clinical toxicosis, reduce resistance to diseases and interfere with vaccine induced immunity in poultry birds. Feeding livestock and poultry with aflatoxin contaminated feed can result in death, immune suppression and growth reduction. The type and dose of mycotoxin, health condition, extent of exposure, gender and age of the individual all determine the severity of mycotoxicosis.</w:t>
      </w:r>
      <w:r w:rsidR="003D681C" w:rsidRPr="00480E02">
        <w:rPr>
          <w:rFonts w:cs="Times New Roman"/>
          <w:szCs w:val="24"/>
        </w:rPr>
        <w:t xml:space="preserve"> Figure 1</w:t>
      </w:r>
      <w:r w:rsidRPr="00480E02">
        <w:rPr>
          <w:rFonts w:cs="Times New Roman"/>
          <w:szCs w:val="24"/>
        </w:rPr>
        <w:t xml:space="preserve"> shows the chemical structures of mycotoxins that are common in foods.</w:t>
      </w:r>
    </w:p>
    <w:p w14:paraId="21B64611" w14:textId="77777777" w:rsidR="00C8005A" w:rsidRPr="00480E02" w:rsidRDefault="00C8005A" w:rsidP="00C8005A">
      <w:pPr>
        <w:spacing w:line="360" w:lineRule="auto"/>
        <w:jc w:val="both"/>
        <w:rPr>
          <w:rFonts w:cs="Times New Roman"/>
          <w:szCs w:val="24"/>
        </w:rPr>
      </w:pPr>
    </w:p>
    <w:p w14:paraId="68AAB12C" w14:textId="77777777" w:rsidR="00C8005A" w:rsidRPr="00480E02" w:rsidRDefault="00C8005A" w:rsidP="00C8005A">
      <w:pPr>
        <w:spacing w:line="360" w:lineRule="auto"/>
        <w:jc w:val="both"/>
        <w:rPr>
          <w:rFonts w:cs="Times New Roman"/>
          <w:szCs w:val="24"/>
        </w:rPr>
      </w:pPr>
    </w:p>
    <w:p w14:paraId="775BCB42" w14:textId="77777777" w:rsidR="00C8005A" w:rsidRPr="00480E02" w:rsidRDefault="00C8005A" w:rsidP="00C8005A">
      <w:pPr>
        <w:spacing w:line="360" w:lineRule="auto"/>
        <w:jc w:val="both"/>
        <w:rPr>
          <w:rFonts w:cs="Times New Roman"/>
          <w:szCs w:val="24"/>
        </w:rPr>
      </w:pPr>
      <w:r w:rsidRPr="00480E02">
        <w:rPr>
          <w:rFonts w:cs="Times New Roman"/>
          <w:noProof/>
          <w:szCs w:val="24"/>
          <w:lang w:val="en-US"/>
        </w:rPr>
        <w:lastRenderedPageBreak/>
        <w:drawing>
          <wp:inline distT="0" distB="0" distL="0" distR="0" wp14:anchorId="1308CF64" wp14:editId="5408EB6B">
            <wp:extent cx="5944235" cy="3566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3566160"/>
                    </a:xfrm>
                    <a:prstGeom prst="rect">
                      <a:avLst/>
                    </a:prstGeom>
                    <a:noFill/>
                  </pic:spPr>
                </pic:pic>
              </a:graphicData>
            </a:graphic>
          </wp:inline>
        </w:drawing>
      </w:r>
    </w:p>
    <w:p w14:paraId="1791A0DC" w14:textId="535B6B75" w:rsidR="00C8005A" w:rsidRPr="00480E02" w:rsidRDefault="00C8005A" w:rsidP="00C8005A">
      <w:pPr>
        <w:pStyle w:val="Caption"/>
        <w:spacing w:line="360" w:lineRule="auto"/>
        <w:rPr>
          <w:rFonts w:cs="Times New Roman"/>
          <w:sz w:val="20"/>
          <w:szCs w:val="20"/>
        </w:rPr>
      </w:pPr>
      <w:r w:rsidRPr="00480E02">
        <w:t xml:space="preserve">Figure </w:t>
      </w:r>
      <w:r w:rsidR="003D681C" w:rsidRPr="00480E02">
        <w:t xml:space="preserve">1 </w:t>
      </w:r>
      <w:r w:rsidR="003D681C" w:rsidRPr="00480E02">
        <w:rPr>
          <w:b/>
          <w:bCs/>
        </w:rPr>
        <w:t>Commonly occurring mycotoxins in food. AF (Aflatoxin) B</w:t>
      </w:r>
      <w:r w:rsidR="003D681C" w:rsidRPr="00480E02">
        <w:rPr>
          <w:b/>
          <w:bCs/>
          <w:vertAlign w:val="subscript"/>
        </w:rPr>
        <w:t>1</w:t>
      </w:r>
      <w:r w:rsidR="003D681C" w:rsidRPr="00480E02">
        <w:rPr>
          <w:b/>
          <w:bCs/>
        </w:rPr>
        <w:t>, B</w:t>
      </w:r>
      <w:r w:rsidR="003D681C" w:rsidRPr="00480E02">
        <w:rPr>
          <w:b/>
          <w:bCs/>
          <w:vertAlign w:val="subscript"/>
        </w:rPr>
        <w:t>2</w:t>
      </w:r>
      <w:r w:rsidR="003D681C" w:rsidRPr="00480E02">
        <w:rPr>
          <w:b/>
          <w:bCs/>
        </w:rPr>
        <w:t>, M</w:t>
      </w:r>
      <w:r w:rsidR="003D681C" w:rsidRPr="00480E02">
        <w:rPr>
          <w:b/>
          <w:bCs/>
          <w:vertAlign w:val="subscript"/>
        </w:rPr>
        <w:t>1</w:t>
      </w:r>
      <w:r w:rsidR="003D681C" w:rsidRPr="00480E02">
        <w:rPr>
          <w:b/>
          <w:bCs/>
        </w:rPr>
        <w:t>, G</w:t>
      </w:r>
      <w:r w:rsidR="003D681C" w:rsidRPr="00480E02">
        <w:rPr>
          <w:b/>
          <w:bCs/>
          <w:vertAlign w:val="subscript"/>
        </w:rPr>
        <w:t>1</w:t>
      </w:r>
      <w:r w:rsidR="003D681C" w:rsidRPr="00480E02">
        <w:rPr>
          <w:b/>
          <w:bCs/>
        </w:rPr>
        <w:t>, G</w:t>
      </w:r>
      <w:r w:rsidR="003D681C" w:rsidRPr="00480E02">
        <w:rPr>
          <w:b/>
          <w:bCs/>
          <w:vertAlign w:val="subscript"/>
        </w:rPr>
        <w:t>2</w:t>
      </w:r>
      <w:r w:rsidR="003D681C" w:rsidRPr="00480E02">
        <w:rPr>
          <w:b/>
          <w:bCs/>
        </w:rPr>
        <w:t>; OT (</w:t>
      </w:r>
      <w:proofErr w:type="spellStart"/>
      <w:r w:rsidR="003D681C" w:rsidRPr="00480E02">
        <w:rPr>
          <w:b/>
          <w:bCs/>
        </w:rPr>
        <w:t>Ochratoxin</w:t>
      </w:r>
      <w:proofErr w:type="spellEnd"/>
      <w:r w:rsidR="003D681C" w:rsidRPr="00480E02">
        <w:rPr>
          <w:b/>
          <w:bCs/>
        </w:rPr>
        <w:t xml:space="preserve">) A, B; DON </w:t>
      </w:r>
      <w:proofErr w:type="spellStart"/>
      <w:r w:rsidR="003D681C" w:rsidRPr="00480E02">
        <w:rPr>
          <w:b/>
          <w:bCs/>
        </w:rPr>
        <w:t>Deoxynivalenol</w:t>
      </w:r>
      <w:proofErr w:type="spellEnd"/>
      <w:r w:rsidR="003D681C" w:rsidRPr="00480E02">
        <w:rPr>
          <w:b/>
          <w:bCs/>
        </w:rPr>
        <w:t xml:space="preserve">; NIV </w:t>
      </w:r>
      <w:proofErr w:type="spellStart"/>
      <w:r w:rsidR="003D681C" w:rsidRPr="00480E02">
        <w:rPr>
          <w:b/>
          <w:bCs/>
        </w:rPr>
        <w:t>Nivalenol</w:t>
      </w:r>
      <w:proofErr w:type="spellEnd"/>
      <w:r w:rsidR="003D681C" w:rsidRPr="00480E02">
        <w:rPr>
          <w:b/>
          <w:bCs/>
        </w:rPr>
        <w:t>; T2 T-2 toxin (</w:t>
      </w:r>
      <w:proofErr w:type="spellStart"/>
      <w:r w:rsidR="003D681C" w:rsidRPr="00480E02">
        <w:rPr>
          <w:b/>
          <w:bCs/>
        </w:rPr>
        <w:t>Insariotoxin</w:t>
      </w:r>
      <w:proofErr w:type="spellEnd"/>
      <w:r w:rsidR="003D681C" w:rsidRPr="00480E02">
        <w:rPr>
          <w:b/>
          <w:bCs/>
        </w:rPr>
        <w:t>); FB</w:t>
      </w:r>
      <w:r w:rsidR="003D681C" w:rsidRPr="00480E02">
        <w:rPr>
          <w:b/>
          <w:bCs/>
          <w:vertAlign w:val="subscript"/>
        </w:rPr>
        <w:t>1</w:t>
      </w:r>
      <w:r w:rsidR="003D681C" w:rsidRPr="00480E02">
        <w:rPr>
          <w:b/>
          <w:bCs/>
        </w:rPr>
        <w:t xml:space="preserve"> </w:t>
      </w:r>
      <w:proofErr w:type="spellStart"/>
      <w:r w:rsidR="003D681C" w:rsidRPr="00480E02">
        <w:rPr>
          <w:b/>
          <w:bCs/>
        </w:rPr>
        <w:t>Fumonisin</w:t>
      </w:r>
      <w:proofErr w:type="spellEnd"/>
      <w:r w:rsidR="003D681C" w:rsidRPr="00480E02">
        <w:rPr>
          <w:b/>
          <w:bCs/>
        </w:rPr>
        <w:t xml:space="preserve"> B</w:t>
      </w:r>
      <w:r w:rsidR="003D681C" w:rsidRPr="00480E02">
        <w:rPr>
          <w:b/>
          <w:bCs/>
          <w:vertAlign w:val="subscript"/>
        </w:rPr>
        <w:t>1</w:t>
      </w:r>
      <w:r w:rsidR="003D681C" w:rsidRPr="00480E02">
        <w:rPr>
          <w:b/>
          <w:bCs/>
        </w:rPr>
        <w:t xml:space="preserve">; ZON </w:t>
      </w:r>
      <w:proofErr w:type="spellStart"/>
      <w:r w:rsidR="003D681C" w:rsidRPr="00480E02">
        <w:rPr>
          <w:b/>
          <w:bCs/>
        </w:rPr>
        <w:t>Zearalenone</w:t>
      </w:r>
      <w:proofErr w:type="spellEnd"/>
      <w:r w:rsidR="003D681C" w:rsidRPr="00480E02">
        <w:rPr>
          <w:b/>
          <w:bCs/>
        </w:rPr>
        <w:t xml:space="preserve">; PAT </w:t>
      </w:r>
      <w:proofErr w:type="spellStart"/>
      <w:r w:rsidR="003D681C" w:rsidRPr="00480E02">
        <w:rPr>
          <w:b/>
          <w:bCs/>
        </w:rPr>
        <w:t>Patulin</w:t>
      </w:r>
      <w:proofErr w:type="spellEnd"/>
      <w:r w:rsidR="003D681C" w:rsidRPr="00480E02">
        <w:rPr>
          <w:b/>
          <w:bCs/>
        </w:rPr>
        <w:t>.</w:t>
      </w:r>
      <w:r w:rsidRPr="00480E02">
        <w:br/>
      </w:r>
    </w:p>
    <w:p w14:paraId="48D4D164" w14:textId="323AE3E5" w:rsidR="00C8005A" w:rsidRPr="00480E02" w:rsidRDefault="00C8005A" w:rsidP="00C8005A">
      <w:pPr>
        <w:spacing w:line="360" w:lineRule="auto"/>
        <w:jc w:val="both"/>
        <w:rPr>
          <w:rFonts w:cs="Times New Roman"/>
          <w:szCs w:val="24"/>
        </w:rPr>
      </w:pPr>
      <w:r w:rsidRPr="00480E02">
        <w:rPr>
          <w:rFonts w:cs="Times New Roman"/>
          <w:szCs w:val="24"/>
        </w:rPr>
        <w:t xml:space="preserve">Mycotoxin production is influenced by fungal species potential, relative humidity, type of substrate, water activity, use of fungicides, duration of fungal growth, aeration, temperature, and storage conditions. Toxin production is further enhanced by stress factors which include shortage of water, insect infestation and attacks by other pests. </w:t>
      </w:r>
    </w:p>
    <w:p w14:paraId="2771CF62" w14:textId="77777777" w:rsidR="00C8005A" w:rsidRPr="00480E02" w:rsidRDefault="00C8005A" w:rsidP="00C8005A">
      <w:pPr>
        <w:pStyle w:val="Heading2"/>
        <w:spacing w:line="360" w:lineRule="auto"/>
      </w:pPr>
      <w:bookmarkStart w:id="2" w:name="_Toc530150351"/>
      <w:r w:rsidRPr="00480E02">
        <w:t>Mycotoxins of significance to human and animal health</w:t>
      </w:r>
      <w:bookmarkEnd w:id="2"/>
      <w:r w:rsidRPr="00480E02">
        <w:t xml:space="preserve"> </w:t>
      </w:r>
    </w:p>
    <w:p w14:paraId="542DA536" w14:textId="3FB9BD5C" w:rsidR="00C8005A" w:rsidRPr="00480E02" w:rsidRDefault="00C8005A" w:rsidP="00C8005A">
      <w:pPr>
        <w:spacing w:line="360" w:lineRule="auto"/>
        <w:jc w:val="both"/>
        <w:rPr>
          <w:rFonts w:cs="Times New Roman"/>
          <w:szCs w:val="24"/>
        </w:rPr>
      </w:pPr>
      <w:r w:rsidRPr="00480E02">
        <w:rPr>
          <w:rFonts w:cs="Times New Roman"/>
          <w:szCs w:val="24"/>
        </w:rPr>
        <w:t xml:space="preserve">Several previous studies reported on the existence of mycotoxins in food systems. Researchers agree that there are about 400 confirmed existing mycotoxins. Research underway also confirm that there are other various emerging toxins whose </w:t>
      </w:r>
      <w:proofErr w:type="spellStart"/>
      <w:r w:rsidRPr="00480E02">
        <w:rPr>
          <w:rFonts w:cs="Times New Roman"/>
          <w:szCs w:val="24"/>
        </w:rPr>
        <w:t>toxicokinetics</w:t>
      </w:r>
      <w:proofErr w:type="spellEnd"/>
      <w:r w:rsidRPr="00480E02">
        <w:rPr>
          <w:rFonts w:cs="Times New Roman"/>
          <w:szCs w:val="24"/>
        </w:rPr>
        <w:t xml:space="preserve"> are still largely unexplored. </w:t>
      </w:r>
    </w:p>
    <w:p w14:paraId="4EA396E3" w14:textId="77777777" w:rsidR="00EA43B5" w:rsidRPr="00480E02" w:rsidRDefault="00C8005A" w:rsidP="00C8005A">
      <w:pPr>
        <w:spacing w:line="360" w:lineRule="auto"/>
        <w:jc w:val="both"/>
        <w:rPr>
          <w:rFonts w:cs="Times New Roman"/>
          <w:szCs w:val="24"/>
        </w:rPr>
      </w:pPr>
      <w:r w:rsidRPr="00480E02">
        <w:rPr>
          <w:rFonts w:cs="Times New Roman"/>
          <w:szCs w:val="24"/>
        </w:rPr>
        <w:t xml:space="preserve">Few of the mycotoxins discovered are a public health concern due to high prevalence, teratogenic, carcinogenic, mutagenic, and immune suppression effects. Mycotoxins of concern are aflatoxins (AFs), ochratoxin A (OTA), trichothecenes (deoxynivalenol (DON) and T-2 toxin), </w:t>
      </w:r>
      <w:proofErr w:type="spellStart"/>
      <w:r w:rsidRPr="00480E02">
        <w:rPr>
          <w:rFonts w:cs="Times New Roman"/>
          <w:szCs w:val="24"/>
        </w:rPr>
        <w:t>zearalenone</w:t>
      </w:r>
      <w:proofErr w:type="spellEnd"/>
      <w:r w:rsidRPr="00480E02">
        <w:rPr>
          <w:rFonts w:cs="Times New Roman"/>
          <w:szCs w:val="24"/>
        </w:rPr>
        <w:t xml:space="preserve"> (ZEN), </w:t>
      </w:r>
      <w:proofErr w:type="spellStart"/>
      <w:r w:rsidRPr="00480E02">
        <w:rPr>
          <w:rFonts w:cs="Times New Roman"/>
          <w:szCs w:val="24"/>
        </w:rPr>
        <w:t>fumonisins</w:t>
      </w:r>
      <w:proofErr w:type="spellEnd"/>
      <w:r w:rsidRPr="00480E02">
        <w:rPr>
          <w:rFonts w:cs="Times New Roman"/>
          <w:szCs w:val="24"/>
        </w:rPr>
        <w:t xml:space="preserve"> (FMN) and </w:t>
      </w:r>
      <w:proofErr w:type="spellStart"/>
      <w:r w:rsidRPr="00480E02">
        <w:rPr>
          <w:rFonts w:cs="Times New Roman"/>
          <w:szCs w:val="24"/>
        </w:rPr>
        <w:t>patulin</w:t>
      </w:r>
      <w:proofErr w:type="spellEnd"/>
      <w:r w:rsidRPr="00480E02">
        <w:rPr>
          <w:rFonts w:cs="Times New Roman"/>
          <w:szCs w:val="24"/>
        </w:rPr>
        <w:t xml:space="preserve"> (PAT). This is due to their studied economic impact, </w:t>
      </w:r>
      <w:r w:rsidRPr="00480E02">
        <w:rPr>
          <w:rFonts w:cs="Times New Roman"/>
          <w:szCs w:val="24"/>
        </w:rPr>
        <w:lastRenderedPageBreak/>
        <w:t xml:space="preserve">frequency of occurrence in food systems and severity on humans and animals. These mycotoxins as well as ergot alkaloids pose threat to food safety; and are produced by fungi belonging to </w:t>
      </w:r>
      <w:r w:rsidRPr="00480E02">
        <w:rPr>
          <w:rFonts w:cs="Times New Roman"/>
          <w:i/>
          <w:szCs w:val="24"/>
        </w:rPr>
        <w:t>Aspergillus</w:t>
      </w:r>
      <w:r w:rsidRPr="00480E02">
        <w:rPr>
          <w:rFonts w:cs="Times New Roman"/>
          <w:szCs w:val="24"/>
        </w:rPr>
        <w:t xml:space="preserve">, </w:t>
      </w:r>
      <w:proofErr w:type="spellStart"/>
      <w:r w:rsidRPr="00480E02">
        <w:rPr>
          <w:rFonts w:cs="Times New Roman"/>
          <w:i/>
          <w:szCs w:val="24"/>
        </w:rPr>
        <w:t>Penicillium</w:t>
      </w:r>
      <w:proofErr w:type="spellEnd"/>
      <w:r w:rsidRPr="00480E02">
        <w:rPr>
          <w:rFonts w:cs="Times New Roman"/>
          <w:szCs w:val="24"/>
        </w:rPr>
        <w:t xml:space="preserve">, </w:t>
      </w:r>
      <w:proofErr w:type="spellStart"/>
      <w:r w:rsidRPr="00480E02">
        <w:rPr>
          <w:rFonts w:cs="Times New Roman"/>
          <w:i/>
          <w:szCs w:val="24"/>
        </w:rPr>
        <w:t>Fusarium</w:t>
      </w:r>
      <w:proofErr w:type="spellEnd"/>
      <w:r w:rsidRPr="00480E02">
        <w:rPr>
          <w:rFonts w:cs="Times New Roman"/>
          <w:szCs w:val="24"/>
        </w:rPr>
        <w:t xml:space="preserve"> and </w:t>
      </w:r>
      <w:proofErr w:type="spellStart"/>
      <w:r w:rsidRPr="00480E02">
        <w:rPr>
          <w:rFonts w:cs="Times New Roman"/>
          <w:i/>
          <w:szCs w:val="24"/>
        </w:rPr>
        <w:t>Claviceps</w:t>
      </w:r>
      <w:proofErr w:type="spellEnd"/>
      <w:r w:rsidRPr="00480E02">
        <w:rPr>
          <w:rFonts w:cs="Times New Roman"/>
          <w:szCs w:val="24"/>
        </w:rPr>
        <w:t xml:space="preserve">.  </w:t>
      </w:r>
    </w:p>
    <w:p w14:paraId="6194C7BA" w14:textId="77777777" w:rsidR="00EA43B5" w:rsidRPr="00480E02" w:rsidRDefault="00EA43B5" w:rsidP="00C8005A">
      <w:pPr>
        <w:spacing w:line="360" w:lineRule="auto"/>
        <w:jc w:val="both"/>
        <w:rPr>
          <w:rFonts w:cs="Times New Roman"/>
          <w:szCs w:val="24"/>
        </w:rPr>
      </w:pPr>
    </w:p>
    <w:p w14:paraId="7627F4D0" w14:textId="28FBB8F9" w:rsidR="00C8005A" w:rsidRPr="00480E02" w:rsidRDefault="00EA43B5" w:rsidP="00C8005A">
      <w:pPr>
        <w:spacing w:line="360" w:lineRule="auto"/>
        <w:jc w:val="both"/>
        <w:rPr>
          <w:rFonts w:cs="Times New Roman"/>
          <w:szCs w:val="24"/>
        </w:rPr>
      </w:pPr>
      <w:r w:rsidRPr="00480E02">
        <w:rPr>
          <w:rFonts w:cs="Times New Roman"/>
          <w:szCs w:val="24"/>
        </w:rPr>
        <w:t>Since m</w:t>
      </w:r>
      <w:r w:rsidR="00C8005A" w:rsidRPr="00480E02">
        <w:rPr>
          <w:rFonts w:cs="Times New Roman"/>
          <w:szCs w:val="24"/>
        </w:rPr>
        <w:t>ycotoxins are he</w:t>
      </w:r>
      <w:r w:rsidRPr="00480E02">
        <w:rPr>
          <w:rFonts w:cs="Times New Roman"/>
          <w:szCs w:val="24"/>
        </w:rPr>
        <w:t>at stable and chemically stable, v</w:t>
      </w:r>
      <w:r w:rsidR="00C8005A" w:rsidRPr="00480E02">
        <w:rPr>
          <w:rFonts w:cs="Times New Roman"/>
          <w:szCs w:val="24"/>
        </w:rPr>
        <w:t>arious regulatory bodies have set maximum tolerable limits for their prese</w:t>
      </w:r>
      <w:r w:rsidR="006D167D" w:rsidRPr="00480E02">
        <w:rPr>
          <w:rFonts w:cs="Times New Roman"/>
          <w:szCs w:val="24"/>
        </w:rPr>
        <w:t>nce in foods and feed. Table 1</w:t>
      </w:r>
      <w:r w:rsidR="00C8005A" w:rsidRPr="00480E02">
        <w:rPr>
          <w:rFonts w:cs="Times New Roman"/>
          <w:szCs w:val="24"/>
        </w:rPr>
        <w:t xml:space="preserve"> presents an overview of the worldwide legislation on mycotoxins.</w:t>
      </w:r>
    </w:p>
    <w:p w14:paraId="5BF3F76E" w14:textId="5A2739AF" w:rsidR="006D167D" w:rsidRPr="00480E02" w:rsidRDefault="006D167D" w:rsidP="00C8005A">
      <w:pPr>
        <w:spacing w:line="360" w:lineRule="auto"/>
        <w:jc w:val="both"/>
        <w:rPr>
          <w:rFonts w:cs="Times New Roman"/>
          <w:szCs w:val="24"/>
        </w:rPr>
      </w:pPr>
    </w:p>
    <w:p w14:paraId="2DDCC651" w14:textId="09B0DFCE" w:rsidR="006D167D" w:rsidRPr="00480E02" w:rsidRDefault="006D167D" w:rsidP="00C8005A">
      <w:pPr>
        <w:spacing w:line="360" w:lineRule="auto"/>
        <w:jc w:val="both"/>
        <w:rPr>
          <w:rFonts w:cs="Times New Roman"/>
          <w:szCs w:val="24"/>
        </w:rPr>
      </w:pPr>
    </w:p>
    <w:p w14:paraId="61869529" w14:textId="03152FFF" w:rsidR="006D167D" w:rsidRPr="00480E02" w:rsidRDefault="006D167D" w:rsidP="00C8005A">
      <w:pPr>
        <w:spacing w:line="360" w:lineRule="auto"/>
        <w:jc w:val="both"/>
        <w:rPr>
          <w:rFonts w:cs="Times New Roman"/>
          <w:szCs w:val="24"/>
        </w:rPr>
      </w:pPr>
    </w:p>
    <w:p w14:paraId="5EDF04E7" w14:textId="2CCC05C3" w:rsidR="006D167D" w:rsidRPr="00480E02" w:rsidRDefault="006D167D" w:rsidP="00C8005A">
      <w:pPr>
        <w:spacing w:line="360" w:lineRule="auto"/>
        <w:jc w:val="both"/>
        <w:rPr>
          <w:rFonts w:cs="Times New Roman"/>
          <w:szCs w:val="24"/>
        </w:rPr>
      </w:pPr>
    </w:p>
    <w:p w14:paraId="2A05CD47" w14:textId="3BA0E28D" w:rsidR="006D167D" w:rsidRPr="00480E02" w:rsidRDefault="006D167D" w:rsidP="00C8005A">
      <w:pPr>
        <w:spacing w:line="360" w:lineRule="auto"/>
        <w:jc w:val="both"/>
        <w:rPr>
          <w:rFonts w:cs="Times New Roman"/>
          <w:szCs w:val="24"/>
        </w:rPr>
      </w:pPr>
    </w:p>
    <w:p w14:paraId="2620192F" w14:textId="3872F15F" w:rsidR="006D167D" w:rsidRPr="00480E02" w:rsidRDefault="006D167D" w:rsidP="00C8005A">
      <w:pPr>
        <w:spacing w:line="360" w:lineRule="auto"/>
        <w:jc w:val="both"/>
        <w:rPr>
          <w:rFonts w:cs="Times New Roman"/>
          <w:szCs w:val="24"/>
        </w:rPr>
      </w:pPr>
    </w:p>
    <w:p w14:paraId="2CA2A66D" w14:textId="76D76010" w:rsidR="006D167D" w:rsidRPr="00480E02" w:rsidRDefault="006D167D" w:rsidP="00C8005A">
      <w:pPr>
        <w:spacing w:line="360" w:lineRule="auto"/>
        <w:jc w:val="both"/>
        <w:rPr>
          <w:rFonts w:cs="Times New Roman"/>
          <w:szCs w:val="24"/>
        </w:rPr>
      </w:pPr>
    </w:p>
    <w:p w14:paraId="3F8D360E" w14:textId="275F94D3" w:rsidR="006D167D" w:rsidRPr="00480E02" w:rsidRDefault="006D167D" w:rsidP="00C8005A">
      <w:pPr>
        <w:spacing w:line="360" w:lineRule="auto"/>
        <w:jc w:val="both"/>
        <w:rPr>
          <w:rFonts w:cs="Times New Roman"/>
          <w:szCs w:val="24"/>
        </w:rPr>
      </w:pPr>
    </w:p>
    <w:p w14:paraId="18DD1F0C" w14:textId="75FCD244" w:rsidR="006D167D" w:rsidRPr="00480E02" w:rsidRDefault="006D167D" w:rsidP="00C8005A">
      <w:pPr>
        <w:spacing w:line="360" w:lineRule="auto"/>
        <w:jc w:val="both"/>
        <w:rPr>
          <w:rFonts w:cs="Times New Roman"/>
          <w:szCs w:val="24"/>
        </w:rPr>
      </w:pPr>
    </w:p>
    <w:p w14:paraId="7F1B82C5" w14:textId="5D74BA5F" w:rsidR="006D167D" w:rsidRPr="00480E02" w:rsidRDefault="006D167D" w:rsidP="00C8005A">
      <w:pPr>
        <w:spacing w:line="360" w:lineRule="auto"/>
        <w:jc w:val="both"/>
        <w:rPr>
          <w:rFonts w:cs="Times New Roman"/>
          <w:szCs w:val="24"/>
        </w:rPr>
      </w:pPr>
    </w:p>
    <w:p w14:paraId="621EC39F" w14:textId="5143A74B" w:rsidR="006D167D" w:rsidRPr="00480E02" w:rsidRDefault="006D167D" w:rsidP="00C8005A">
      <w:pPr>
        <w:spacing w:line="360" w:lineRule="auto"/>
        <w:jc w:val="both"/>
        <w:rPr>
          <w:rFonts w:cs="Times New Roman"/>
          <w:szCs w:val="24"/>
        </w:rPr>
      </w:pPr>
    </w:p>
    <w:p w14:paraId="2B75BDBE" w14:textId="5EFCDF2A" w:rsidR="006D167D" w:rsidRPr="00480E02" w:rsidRDefault="006D167D" w:rsidP="00C8005A">
      <w:pPr>
        <w:spacing w:line="360" w:lineRule="auto"/>
        <w:jc w:val="both"/>
        <w:rPr>
          <w:rFonts w:cs="Times New Roman"/>
          <w:szCs w:val="24"/>
        </w:rPr>
      </w:pPr>
    </w:p>
    <w:p w14:paraId="260A307E" w14:textId="6FF30A44" w:rsidR="006D167D" w:rsidRPr="00480E02" w:rsidRDefault="006D167D" w:rsidP="00C8005A">
      <w:pPr>
        <w:spacing w:line="360" w:lineRule="auto"/>
        <w:jc w:val="both"/>
        <w:rPr>
          <w:rFonts w:cs="Times New Roman"/>
          <w:szCs w:val="24"/>
        </w:rPr>
      </w:pPr>
    </w:p>
    <w:p w14:paraId="59DDD141" w14:textId="2DB1A2E0" w:rsidR="006D167D" w:rsidRPr="00480E02" w:rsidRDefault="006D167D" w:rsidP="00C8005A">
      <w:pPr>
        <w:spacing w:line="360" w:lineRule="auto"/>
        <w:jc w:val="both"/>
        <w:rPr>
          <w:rFonts w:cs="Times New Roman"/>
          <w:szCs w:val="24"/>
        </w:rPr>
      </w:pPr>
    </w:p>
    <w:p w14:paraId="12C2334F" w14:textId="3F371F90" w:rsidR="006D167D" w:rsidRPr="00480E02" w:rsidRDefault="006D167D" w:rsidP="00C8005A">
      <w:pPr>
        <w:spacing w:line="360" w:lineRule="auto"/>
        <w:jc w:val="both"/>
        <w:rPr>
          <w:rFonts w:cs="Times New Roman"/>
          <w:szCs w:val="24"/>
        </w:rPr>
      </w:pPr>
    </w:p>
    <w:p w14:paraId="40C2A430" w14:textId="0621AD38" w:rsidR="006D167D" w:rsidRPr="00480E02" w:rsidRDefault="006D167D" w:rsidP="00C8005A">
      <w:pPr>
        <w:spacing w:line="360" w:lineRule="auto"/>
        <w:jc w:val="both"/>
        <w:rPr>
          <w:rFonts w:cs="Times New Roman"/>
          <w:szCs w:val="24"/>
        </w:rPr>
      </w:pPr>
    </w:p>
    <w:p w14:paraId="54FEE069" w14:textId="50F3F648" w:rsidR="006D167D" w:rsidRPr="00480E02" w:rsidRDefault="006D167D" w:rsidP="00C8005A">
      <w:pPr>
        <w:spacing w:line="360" w:lineRule="auto"/>
        <w:jc w:val="both"/>
        <w:rPr>
          <w:rFonts w:cs="Times New Roman"/>
          <w:szCs w:val="24"/>
        </w:rPr>
      </w:pPr>
    </w:p>
    <w:p w14:paraId="3A3C15B4" w14:textId="2E19634C" w:rsidR="006D167D" w:rsidRPr="00480E02" w:rsidRDefault="006D167D" w:rsidP="00C8005A">
      <w:pPr>
        <w:spacing w:line="360" w:lineRule="auto"/>
        <w:jc w:val="both"/>
        <w:rPr>
          <w:rFonts w:cs="Times New Roman"/>
          <w:szCs w:val="24"/>
        </w:rPr>
      </w:pPr>
    </w:p>
    <w:p w14:paraId="1F032A56" w14:textId="577BE2E8" w:rsidR="006D167D" w:rsidRPr="00480E02" w:rsidRDefault="006D167D" w:rsidP="00C8005A">
      <w:pPr>
        <w:spacing w:line="360" w:lineRule="auto"/>
        <w:jc w:val="both"/>
        <w:rPr>
          <w:rFonts w:cs="Times New Roman"/>
          <w:szCs w:val="24"/>
        </w:rPr>
      </w:pPr>
    </w:p>
    <w:p w14:paraId="46BCCAED" w14:textId="53C1CE79" w:rsidR="006D167D" w:rsidRPr="00480E02" w:rsidRDefault="006D167D" w:rsidP="00C8005A">
      <w:pPr>
        <w:spacing w:line="360" w:lineRule="auto"/>
        <w:jc w:val="both"/>
        <w:rPr>
          <w:rFonts w:cs="Times New Roman"/>
          <w:szCs w:val="24"/>
        </w:rPr>
      </w:pPr>
    </w:p>
    <w:p w14:paraId="4D1AD2C5" w14:textId="1914AF1A" w:rsidR="006D167D" w:rsidRPr="00480E02" w:rsidRDefault="006D167D" w:rsidP="00C8005A">
      <w:pPr>
        <w:spacing w:line="360" w:lineRule="auto"/>
        <w:jc w:val="both"/>
        <w:rPr>
          <w:rFonts w:cs="Times New Roman"/>
          <w:szCs w:val="24"/>
        </w:rPr>
      </w:pPr>
    </w:p>
    <w:p w14:paraId="498E42A0" w14:textId="719EC738" w:rsidR="006D167D" w:rsidRPr="00480E02" w:rsidRDefault="006D167D" w:rsidP="00C8005A">
      <w:pPr>
        <w:spacing w:line="360" w:lineRule="auto"/>
        <w:jc w:val="both"/>
        <w:rPr>
          <w:rFonts w:cs="Times New Roman"/>
          <w:szCs w:val="24"/>
        </w:rPr>
      </w:pPr>
    </w:p>
    <w:p w14:paraId="734D9A0A" w14:textId="031B64A7" w:rsidR="006D167D" w:rsidRPr="00480E02" w:rsidRDefault="006D167D" w:rsidP="00C8005A">
      <w:pPr>
        <w:spacing w:line="360" w:lineRule="auto"/>
        <w:jc w:val="both"/>
        <w:rPr>
          <w:rFonts w:cs="Times New Roman"/>
          <w:szCs w:val="24"/>
        </w:rPr>
      </w:pPr>
    </w:p>
    <w:p w14:paraId="4CF10740" w14:textId="55AFFF03" w:rsidR="006D167D" w:rsidRPr="00480E02" w:rsidRDefault="006D167D" w:rsidP="00C8005A">
      <w:pPr>
        <w:spacing w:line="360" w:lineRule="auto"/>
        <w:jc w:val="both"/>
        <w:rPr>
          <w:rFonts w:cs="Times New Roman"/>
          <w:szCs w:val="24"/>
        </w:rPr>
      </w:pPr>
    </w:p>
    <w:p w14:paraId="5BD701FC" w14:textId="62740FF7" w:rsidR="006D167D" w:rsidRPr="00480E02" w:rsidRDefault="006D167D" w:rsidP="00C8005A">
      <w:pPr>
        <w:spacing w:line="360" w:lineRule="auto"/>
        <w:jc w:val="both"/>
        <w:rPr>
          <w:rFonts w:cs="Times New Roman"/>
          <w:szCs w:val="24"/>
        </w:rPr>
      </w:pPr>
    </w:p>
    <w:p w14:paraId="224FC28D" w14:textId="4FFFD24E" w:rsidR="006D167D" w:rsidRPr="00480E02" w:rsidRDefault="006D167D" w:rsidP="006D167D">
      <w:pPr>
        <w:pStyle w:val="Caption"/>
        <w:spacing w:line="360" w:lineRule="auto"/>
        <w:rPr>
          <w:b/>
          <w:bCs/>
        </w:rPr>
      </w:pPr>
      <w:bookmarkStart w:id="3" w:name="_Toc528997581"/>
      <w:r w:rsidRPr="00480E02">
        <w:rPr>
          <w:b/>
          <w:bCs/>
        </w:rPr>
        <w:t xml:space="preserve">Table </w:t>
      </w:r>
      <w:r w:rsidRPr="00480E02">
        <w:rPr>
          <w:b/>
          <w:bCs/>
        </w:rPr>
        <w:t>1</w:t>
      </w:r>
      <w:r w:rsidRPr="00480E02">
        <w:rPr>
          <w:b/>
          <w:bCs/>
        </w:rPr>
        <w:t xml:space="preserve"> Overview of the worldwide legislation on mycotoxins</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2198"/>
        <w:gridCol w:w="2215"/>
        <w:gridCol w:w="2185"/>
      </w:tblGrid>
      <w:tr w:rsidR="00480E02" w:rsidRPr="00480E02" w14:paraId="6A31EF8E" w14:textId="77777777" w:rsidTr="00FF47BB">
        <w:tc>
          <w:tcPr>
            <w:tcW w:w="2189" w:type="dxa"/>
            <w:tcBorders>
              <w:top w:val="single" w:sz="12" w:space="0" w:color="auto"/>
              <w:bottom w:val="single" w:sz="12" w:space="0" w:color="auto"/>
            </w:tcBorders>
          </w:tcPr>
          <w:p w14:paraId="68E76540" w14:textId="77777777" w:rsidR="006D167D" w:rsidRPr="00480E02" w:rsidRDefault="006D167D" w:rsidP="00FF47BB">
            <w:pPr>
              <w:spacing w:before="0" w:after="0" w:line="240" w:lineRule="auto"/>
              <w:contextualSpacing w:val="0"/>
              <w:jc w:val="both"/>
              <w:rPr>
                <w:rFonts w:cs="Times New Roman"/>
                <w:sz w:val="20"/>
                <w:szCs w:val="20"/>
              </w:rPr>
            </w:pPr>
            <w:r w:rsidRPr="00480E02">
              <w:rPr>
                <w:rFonts w:cs="Times New Roman"/>
                <w:sz w:val="20"/>
                <w:szCs w:val="20"/>
              </w:rPr>
              <w:t xml:space="preserve">Mycotoxin </w:t>
            </w:r>
          </w:p>
        </w:tc>
        <w:tc>
          <w:tcPr>
            <w:tcW w:w="2198" w:type="dxa"/>
            <w:tcBorders>
              <w:top w:val="single" w:sz="12" w:space="0" w:color="auto"/>
              <w:bottom w:val="single" w:sz="12" w:space="0" w:color="auto"/>
            </w:tcBorders>
          </w:tcPr>
          <w:p w14:paraId="102433C6" w14:textId="77777777" w:rsidR="006D167D" w:rsidRPr="00480E02" w:rsidRDefault="006D167D" w:rsidP="00FF47BB">
            <w:pPr>
              <w:spacing w:before="0" w:after="0" w:line="240" w:lineRule="auto"/>
              <w:contextualSpacing w:val="0"/>
              <w:jc w:val="both"/>
              <w:rPr>
                <w:rFonts w:cs="Times New Roman"/>
                <w:sz w:val="20"/>
                <w:szCs w:val="20"/>
              </w:rPr>
            </w:pPr>
            <w:r w:rsidRPr="00480E02">
              <w:rPr>
                <w:rFonts w:cs="Times New Roman"/>
                <w:sz w:val="20"/>
                <w:szCs w:val="20"/>
              </w:rPr>
              <w:t>Commodity</w:t>
            </w:r>
          </w:p>
        </w:tc>
        <w:tc>
          <w:tcPr>
            <w:tcW w:w="2215" w:type="dxa"/>
            <w:tcBorders>
              <w:top w:val="single" w:sz="12" w:space="0" w:color="auto"/>
              <w:bottom w:val="single" w:sz="12" w:space="0" w:color="auto"/>
            </w:tcBorders>
          </w:tcPr>
          <w:p w14:paraId="57E2FF81" w14:textId="77777777" w:rsidR="006D167D" w:rsidRPr="00480E02" w:rsidRDefault="006D167D" w:rsidP="00FF47BB">
            <w:pPr>
              <w:spacing w:before="0" w:after="0" w:line="240" w:lineRule="auto"/>
              <w:contextualSpacing w:val="0"/>
              <w:jc w:val="both"/>
              <w:rPr>
                <w:rFonts w:cs="Times New Roman"/>
                <w:sz w:val="20"/>
                <w:szCs w:val="20"/>
              </w:rPr>
            </w:pPr>
            <w:r w:rsidRPr="00480E02">
              <w:rPr>
                <w:rFonts w:cs="Times New Roman"/>
                <w:sz w:val="20"/>
                <w:szCs w:val="20"/>
              </w:rPr>
              <w:t>Country</w:t>
            </w:r>
          </w:p>
        </w:tc>
        <w:tc>
          <w:tcPr>
            <w:tcW w:w="2185" w:type="dxa"/>
            <w:tcBorders>
              <w:top w:val="single" w:sz="12" w:space="0" w:color="auto"/>
              <w:bottom w:val="single" w:sz="12" w:space="0" w:color="auto"/>
            </w:tcBorders>
          </w:tcPr>
          <w:p w14:paraId="3A70EA21"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bCs/>
                <w:sz w:val="20"/>
                <w:szCs w:val="20"/>
                <w:lang w:val="en-US"/>
              </w:rPr>
              <w:t>Maximum tolerable levels* (µg/kg</w:t>
            </w:r>
            <w:r w:rsidRPr="00480E02">
              <w:rPr>
                <w:rFonts w:cs="Times New Roman"/>
                <w:b/>
                <w:bCs/>
                <w:sz w:val="20"/>
                <w:szCs w:val="20"/>
                <w:lang w:val="en-US"/>
              </w:rPr>
              <w:t xml:space="preserve">) </w:t>
            </w:r>
          </w:p>
          <w:p w14:paraId="18D2CDE8" w14:textId="77777777" w:rsidR="006D167D" w:rsidRPr="00480E02" w:rsidRDefault="006D167D" w:rsidP="00FF47BB">
            <w:pPr>
              <w:spacing w:before="0" w:after="0" w:line="240" w:lineRule="auto"/>
              <w:contextualSpacing w:val="0"/>
              <w:jc w:val="both"/>
              <w:rPr>
                <w:rFonts w:cs="Times New Roman"/>
                <w:sz w:val="20"/>
                <w:szCs w:val="20"/>
              </w:rPr>
            </w:pPr>
          </w:p>
        </w:tc>
      </w:tr>
      <w:tr w:rsidR="00480E02" w:rsidRPr="00480E02" w14:paraId="3DDA8311" w14:textId="77777777" w:rsidTr="00FF47BB">
        <w:tc>
          <w:tcPr>
            <w:tcW w:w="2189" w:type="dxa"/>
            <w:tcBorders>
              <w:top w:val="single" w:sz="12" w:space="0" w:color="auto"/>
            </w:tcBorders>
          </w:tcPr>
          <w:p w14:paraId="18C01638"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 xml:space="preserve">AFs </w:t>
            </w:r>
          </w:p>
          <w:p w14:paraId="1C2130F2" w14:textId="77777777" w:rsidR="006D167D" w:rsidRPr="00480E02" w:rsidRDefault="006D167D" w:rsidP="00FF47BB">
            <w:pPr>
              <w:spacing w:before="0" w:after="0" w:line="240" w:lineRule="auto"/>
              <w:contextualSpacing w:val="0"/>
              <w:jc w:val="both"/>
              <w:rPr>
                <w:rFonts w:cs="Times New Roman"/>
                <w:sz w:val="20"/>
                <w:szCs w:val="20"/>
              </w:rPr>
            </w:pPr>
          </w:p>
        </w:tc>
        <w:tc>
          <w:tcPr>
            <w:tcW w:w="2198" w:type="dxa"/>
            <w:tcBorders>
              <w:top w:val="single" w:sz="12" w:space="0" w:color="auto"/>
            </w:tcBorders>
          </w:tcPr>
          <w:p w14:paraId="405F7C25"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 xml:space="preserve">Oil seeds, nuts, dried fruits, cereals, spices </w:t>
            </w:r>
          </w:p>
          <w:p w14:paraId="2A2A752E" w14:textId="77777777" w:rsidR="006D167D" w:rsidRPr="00480E02" w:rsidRDefault="006D167D" w:rsidP="00FF47BB">
            <w:pPr>
              <w:spacing w:before="0" w:after="0" w:line="240" w:lineRule="auto"/>
              <w:contextualSpacing w:val="0"/>
              <w:jc w:val="both"/>
              <w:rPr>
                <w:rFonts w:cs="Times New Roman"/>
                <w:sz w:val="20"/>
                <w:szCs w:val="20"/>
              </w:rPr>
            </w:pPr>
          </w:p>
        </w:tc>
        <w:tc>
          <w:tcPr>
            <w:tcW w:w="2215" w:type="dxa"/>
            <w:tcBorders>
              <w:top w:val="single" w:sz="12" w:space="0" w:color="auto"/>
            </w:tcBorders>
          </w:tcPr>
          <w:p w14:paraId="39DE221B"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pt-BR"/>
              </w:rPr>
              <w:t>EU</w:t>
            </w:r>
          </w:p>
          <w:p w14:paraId="19CF28B9"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pt-BR"/>
              </w:rPr>
              <w:t xml:space="preserve">Australia, Canada,  Nigeria, New Zeland, South Africa,  </w:t>
            </w:r>
          </w:p>
          <w:p w14:paraId="3B59FC8D"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pt-BR"/>
              </w:rPr>
              <w:t>USA, Brazil</w:t>
            </w:r>
          </w:p>
          <w:p w14:paraId="063A81AC"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pt-BR"/>
              </w:rPr>
              <w:t xml:space="preserve"> India </w:t>
            </w:r>
          </w:p>
          <w:p w14:paraId="0D8D4BCD" w14:textId="77777777" w:rsidR="006D167D" w:rsidRPr="00480E02" w:rsidRDefault="006D167D" w:rsidP="00FF47BB">
            <w:pPr>
              <w:spacing w:before="0" w:after="0" w:line="240" w:lineRule="auto"/>
              <w:contextualSpacing w:val="0"/>
              <w:jc w:val="both"/>
              <w:rPr>
                <w:rFonts w:cs="Times New Roman"/>
                <w:sz w:val="20"/>
                <w:szCs w:val="20"/>
              </w:rPr>
            </w:pPr>
          </w:p>
        </w:tc>
        <w:tc>
          <w:tcPr>
            <w:tcW w:w="2185" w:type="dxa"/>
            <w:tcBorders>
              <w:top w:val="single" w:sz="12" w:space="0" w:color="auto"/>
            </w:tcBorders>
          </w:tcPr>
          <w:p w14:paraId="00A1A050"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pt-BR"/>
              </w:rPr>
              <w:t>4–15* (2–12* for AFB1)</w:t>
            </w:r>
          </w:p>
          <w:p w14:paraId="538FD050"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pt-BR"/>
              </w:rPr>
              <w:t>(15 for AFB1)</w:t>
            </w:r>
          </w:p>
          <w:p w14:paraId="4F377031" w14:textId="77777777" w:rsidR="006D167D" w:rsidRPr="00480E02" w:rsidRDefault="006D167D" w:rsidP="00FF47BB">
            <w:pPr>
              <w:spacing w:before="0" w:after="0" w:line="240" w:lineRule="auto"/>
              <w:contextualSpacing w:val="0"/>
              <w:jc w:val="both"/>
              <w:rPr>
                <w:rFonts w:cs="Times New Roman"/>
                <w:sz w:val="20"/>
                <w:szCs w:val="20"/>
                <w:lang w:val="pt-BR"/>
              </w:rPr>
            </w:pPr>
          </w:p>
          <w:p w14:paraId="1CD7F905" w14:textId="77777777" w:rsidR="006D167D" w:rsidRPr="00480E02" w:rsidRDefault="006D167D" w:rsidP="00FF47BB">
            <w:pPr>
              <w:spacing w:before="0" w:after="0" w:line="240" w:lineRule="auto"/>
              <w:contextualSpacing w:val="0"/>
              <w:jc w:val="both"/>
              <w:rPr>
                <w:rFonts w:cs="Times New Roman"/>
                <w:sz w:val="20"/>
                <w:szCs w:val="20"/>
                <w:lang w:val="pt-BR"/>
              </w:rPr>
            </w:pPr>
          </w:p>
          <w:p w14:paraId="2478F9E7"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pt-BR"/>
              </w:rPr>
              <w:t>20</w:t>
            </w:r>
          </w:p>
          <w:p w14:paraId="5017D887" w14:textId="77777777" w:rsidR="006D167D" w:rsidRPr="00480E02" w:rsidRDefault="006D167D" w:rsidP="00FF47BB">
            <w:pPr>
              <w:spacing w:before="0" w:after="0" w:line="240" w:lineRule="auto"/>
              <w:contextualSpacing w:val="0"/>
              <w:jc w:val="both"/>
              <w:rPr>
                <w:rFonts w:cs="Times New Roman"/>
                <w:sz w:val="20"/>
                <w:szCs w:val="20"/>
              </w:rPr>
            </w:pPr>
            <w:r w:rsidRPr="00480E02">
              <w:rPr>
                <w:rFonts w:cs="Times New Roman"/>
                <w:sz w:val="20"/>
                <w:szCs w:val="20"/>
                <w:lang w:val="pt-BR"/>
              </w:rPr>
              <w:t>30</w:t>
            </w:r>
          </w:p>
        </w:tc>
      </w:tr>
      <w:tr w:rsidR="00480E02" w:rsidRPr="00480E02" w14:paraId="5BF9BF97" w14:textId="77777777" w:rsidTr="00FF47BB">
        <w:tc>
          <w:tcPr>
            <w:tcW w:w="2189" w:type="dxa"/>
          </w:tcPr>
          <w:p w14:paraId="02E2FCB8" w14:textId="77777777" w:rsidR="006D167D" w:rsidRPr="00480E02" w:rsidRDefault="006D167D" w:rsidP="00FF47BB">
            <w:pPr>
              <w:spacing w:before="0" w:after="0" w:line="240" w:lineRule="auto"/>
              <w:contextualSpacing w:val="0"/>
              <w:jc w:val="both"/>
              <w:rPr>
                <w:rFonts w:cs="Times New Roman"/>
                <w:sz w:val="20"/>
                <w:szCs w:val="20"/>
              </w:rPr>
            </w:pPr>
            <w:r w:rsidRPr="00480E02">
              <w:rPr>
                <w:rFonts w:cs="Times New Roman"/>
                <w:sz w:val="20"/>
                <w:szCs w:val="20"/>
              </w:rPr>
              <w:t>AFM</w:t>
            </w:r>
            <w:r w:rsidRPr="00480E02">
              <w:rPr>
                <w:rFonts w:cs="Times New Roman"/>
                <w:sz w:val="20"/>
                <w:szCs w:val="20"/>
                <w:vertAlign w:val="subscript"/>
              </w:rPr>
              <w:t>1</w:t>
            </w:r>
          </w:p>
        </w:tc>
        <w:tc>
          <w:tcPr>
            <w:tcW w:w="2198" w:type="dxa"/>
          </w:tcPr>
          <w:p w14:paraId="5905D4A4"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 xml:space="preserve">Milk and infant formula </w:t>
            </w:r>
          </w:p>
          <w:p w14:paraId="4FBB8174" w14:textId="77777777" w:rsidR="006D167D" w:rsidRPr="00480E02" w:rsidRDefault="006D167D" w:rsidP="00FF47BB">
            <w:pPr>
              <w:spacing w:before="0" w:after="0" w:line="240" w:lineRule="auto"/>
              <w:contextualSpacing w:val="0"/>
              <w:jc w:val="both"/>
              <w:rPr>
                <w:rFonts w:cs="Times New Roman"/>
                <w:sz w:val="20"/>
                <w:szCs w:val="20"/>
              </w:rPr>
            </w:pPr>
          </w:p>
        </w:tc>
        <w:tc>
          <w:tcPr>
            <w:tcW w:w="2215" w:type="dxa"/>
          </w:tcPr>
          <w:p w14:paraId="676222DE" w14:textId="77777777" w:rsidR="006D167D" w:rsidRPr="00480E02" w:rsidRDefault="006D167D" w:rsidP="00FF47BB">
            <w:pPr>
              <w:spacing w:before="0" w:after="0" w:line="240" w:lineRule="auto"/>
              <w:contextualSpacing w:val="0"/>
              <w:jc w:val="both"/>
              <w:rPr>
                <w:rFonts w:cs="Times New Roman"/>
                <w:sz w:val="20"/>
                <w:szCs w:val="20"/>
                <w:lang w:val="en-US"/>
              </w:rPr>
            </w:pPr>
            <w:proofErr w:type="spellStart"/>
            <w:proofErr w:type="gramStart"/>
            <w:r w:rsidRPr="00480E02">
              <w:rPr>
                <w:rFonts w:cs="Times New Roman"/>
                <w:sz w:val="20"/>
                <w:szCs w:val="20"/>
                <w:lang w:val="en-US"/>
              </w:rPr>
              <w:t>EU,Turkey</w:t>
            </w:r>
            <w:proofErr w:type="gramEnd"/>
            <w:r w:rsidRPr="00480E02">
              <w:rPr>
                <w:rFonts w:cs="Times New Roman"/>
                <w:sz w:val="20"/>
                <w:szCs w:val="20"/>
                <w:lang w:val="en-US"/>
              </w:rPr>
              <w:t>,SouthAfrica</w:t>
            </w:r>
            <w:proofErr w:type="spellEnd"/>
            <w:r w:rsidRPr="00480E02">
              <w:rPr>
                <w:rFonts w:cs="Times New Roman"/>
                <w:sz w:val="20"/>
                <w:szCs w:val="20"/>
                <w:lang w:val="en-US"/>
              </w:rPr>
              <w:t xml:space="preserve">, Argentina, China, India, Kenya, Mexico, Uruguay, USA </w:t>
            </w:r>
          </w:p>
          <w:p w14:paraId="3AE095C9" w14:textId="77777777" w:rsidR="006D167D" w:rsidRPr="00480E02" w:rsidRDefault="006D167D" w:rsidP="00FF47BB">
            <w:pPr>
              <w:spacing w:before="0" w:after="0" w:line="240" w:lineRule="auto"/>
              <w:contextualSpacing w:val="0"/>
              <w:jc w:val="both"/>
              <w:rPr>
                <w:rFonts w:cs="Times New Roman"/>
                <w:sz w:val="20"/>
                <w:szCs w:val="20"/>
              </w:rPr>
            </w:pPr>
            <w:r w:rsidRPr="00480E02">
              <w:rPr>
                <w:rFonts w:cs="Times New Roman"/>
                <w:sz w:val="20"/>
                <w:szCs w:val="20"/>
                <w:lang w:val="en-US"/>
              </w:rPr>
              <w:t>Brazil</w:t>
            </w:r>
          </w:p>
        </w:tc>
        <w:tc>
          <w:tcPr>
            <w:tcW w:w="2185" w:type="dxa"/>
          </w:tcPr>
          <w:p w14:paraId="54DF1284"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0.25–0.05*</w:t>
            </w:r>
          </w:p>
          <w:p w14:paraId="0CD62B45"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0.5</w:t>
            </w:r>
          </w:p>
          <w:p w14:paraId="0F46BD54" w14:textId="77777777" w:rsidR="006D167D" w:rsidRPr="00480E02" w:rsidRDefault="006D167D" w:rsidP="00FF47BB">
            <w:pPr>
              <w:spacing w:before="0" w:after="0" w:line="240" w:lineRule="auto"/>
              <w:contextualSpacing w:val="0"/>
              <w:jc w:val="both"/>
              <w:rPr>
                <w:rFonts w:cs="Times New Roman"/>
                <w:sz w:val="20"/>
                <w:szCs w:val="20"/>
                <w:lang w:val="en-US"/>
              </w:rPr>
            </w:pPr>
          </w:p>
          <w:p w14:paraId="27D9E907" w14:textId="77777777" w:rsidR="006D167D" w:rsidRPr="00480E02" w:rsidRDefault="006D167D" w:rsidP="00FF47BB">
            <w:pPr>
              <w:spacing w:before="0" w:after="0" w:line="240" w:lineRule="auto"/>
              <w:contextualSpacing w:val="0"/>
              <w:jc w:val="both"/>
              <w:rPr>
                <w:rFonts w:cs="Times New Roman"/>
                <w:sz w:val="20"/>
                <w:szCs w:val="20"/>
                <w:lang w:val="en-US"/>
              </w:rPr>
            </w:pPr>
          </w:p>
          <w:p w14:paraId="6DCD7D25"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0.5–5*</w:t>
            </w:r>
          </w:p>
          <w:p w14:paraId="7F46D8D7" w14:textId="77777777" w:rsidR="006D167D" w:rsidRPr="00480E02" w:rsidRDefault="006D167D" w:rsidP="00FF47BB">
            <w:pPr>
              <w:spacing w:before="0" w:after="0" w:line="240" w:lineRule="auto"/>
              <w:contextualSpacing w:val="0"/>
              <w:jc w:val="both"/>
              <w:rPr>
                <w:rFonts w:cs="Times New Roman"/>
                <w:sz w:val="20"/>
                <w:szCs w:val="20"/>
              </w:rPr>
            </w:pPr>
          </w:p>
        </w:tc>
      </w:tr>
      <w:tr w:rsidR="00480E02" w:rsidRPr="00480E02" w14:paraId="18DCF7A3" w14:textId="77777777" w:rsidTr="00FF47BB">
        <w:tc>
          <w:tcPr>
            <w:tcW w:w="2189" w:type="dxa"/>
          </w:tcPr>
          <w:p w14:paraId="1737FE11"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 xml:space="preserve">DON </w:t>
            </w:r>
          </w:p>
          <w:p w14:paraId="5A1A8F77" w14:textId="77777777" w:rsidR="006D167D" w:rsidRPr="00480E02" w:rsidRDefault="006D167D" w:rsidP="00FF47BB">
            <w:pPr>
              <w:spacing w:before="0" w:after="0" w:line="240" w:lineRule="auto"/>
              <w:contextualSpacing w:val="0"/>
              <w:jc w:val="both"/>
              <w:rPr>
                <w:rFonts w:cs="Times New Roman"/>
                <w:sz w:val="20"/>
                <w:szCs w:val="20"/>
              </w:rPr>
            </w:pPr>
          </w:p>
        </w:tc>
        <w:tc>
          <w:tcPr>
            <w:tcW w:w="2198" w:type="dxa"/>
          </w:tcPr>
          <w:p w14:paraId="47FEB866"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 xml:space="preserve">Cereals, bakery products </w:t>
            </w:r>
          </w:p>
          <w:p w14:paraId="11F4F7AD" w14:textId="77777777" w:rsidR="006D167D" w:rsidRPr="00480E02" w:rsidRDefault="006D167D" w:rsidP="00FF47BB">
            <w:pPr>
              <w:spacing w:before="0" w:after="0" w:line="240" w:lineRule="auto"/>
              <w:contextualSpacing w:val="0"/>
              <w:jc w:val="both"/>
              <w:rPr>
                <w:rFonts w:cs="Times New Roman"/>
                <w:sz w:val="20"/>
                <w:szCs w:val="20"/>
              </w:rPr>
            </w:pPr>
          </w:p>
        </w:tc>
        <w:tc>
          <w:tcPr>
            <w:tcW w:w="2215" w:type="dxa"/>
          </w:tcPr>
          <w:p w14:paraId="7DCE5A6C"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pt-BR"/>
              </w:rPr>
              <w:t>EU</w:t>
            </w:r>
          </w:p>
          <w:p w14:paraId="706FD260" w14:textId="77777777" w:rsidR="006D167D" w:rsidRPr="00480E02" w:rsidRDefault="006D167D" w:rsidP="00FF47BB">
            <w:pPr>
              <w:spacing w:before="0" w:after="0" w:line="240" w:lineRule="auto"/>
              <w:contextualSpacing w:val="0"/>
              <w:jc w:val="both"/>
              <w:rPr>
                <w:rFonts w:cs="Times New Roman"/>
                <w:sz w:val="20"/>
                <w:szCs w:val="20"/>
                <w:lang w:val="pt-BR"/>
              </w:rPr>
            </w:pPr>
            <w:r w:rsidRPr="00480E02">
              <w:rPr>
                <w:rFonts w:cs="Times New Roman"/>
                <w:sz w:val="20"/>
                <w:szCs w:val="20"/>
                <w:lang w:val="pt-BR"/>
              </w:rPr>
              <w:t>Brazil</w:t>
            </w:r>
          </w:p>
          <w:p w14:paraId="0CE69182" w14:textId="77777777" w:rsidR="006D167D" w:rsidRPr="00480E02" w:rsidRDefault="006D167D" w:rsidP="00FF47BB">
            <w:pPr>
              <w:spacing w:before="0" w:after="0" w:line="240" w:lineRule="auto"/>
              <w:contextualSpacing w:val="0"/>
              <w:jc w:val="both"/>
              <w:rPr>
                <w:rFonts w:cs="Times New Roman"/>
                <w:sz w:val="20"/>
                <w:szCs w:val="20"/>
                <w:lang w:val="pt-BR"/>
              </w:rPr>
            </w:pPr>
            <w:r w:rsidRPr="00480E02">
              <w:rPr>
                <w:rFonts w:cs="Times New Roman"/>
                <w:sz w:val="20"/>
                <w:szCs w:val="20"/>
                <w:lang w:val="pt-BR"/>
              </w:rPr>
              <w:t xml:space="preserve">Russia </w:t>
            </w:r>
          </w:p>
          <w:p w14:paraId="0468D99C"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pt-BR"/>
              </w:rPr>
              <w:t xml:space="preserve">Canada, China, India, </w:t>
            </w:r>
          </w:p>
          <w:p w14:paraId="4570DDAF"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pt-BR"/>
              </w:rPr>
              <w:t>Japan, USA</w:t>
            </w:r>
            <w:r w:rsidRPr="00480E02">
              <w:rPr>
                <w:rFonts w:cs="Times New Roman"/>
                <w:sz w:val="20"/>
                <w:szCs w:val="20"/>
                <w:vertAlign w:val="superscript"/>
                <w:lang w:val="pt-BR"/>
              </w:rPr>
              <w:t>a</w:t>
            </w:r>
            <w:r w:rsidRPr="00480E02">
              <w:rPr>
                <w:rFonts w:cs="Times New Roman"/>
                <w:sz w:val="20"/>
                <w:szCs w:val="20"/>
                <w:lang w:val="pt-BR"/>
              </w:rPr>
              <w:t xml:space="preserve"> </w:t>
            </w:r>
          </w:p>
          <w:p w14:paraId="15F55C44" w14:textId="77777777" w:rsidR="006D167D" w:rsidRPr="00480E02" w:rsidRDefault="006D167D" w:rsidP="00FF47BB">
            <w:pPr>
              <w:spacing w:before="0" w:after="0" w:line="240" w:lineRule="auto"/>
              <w:contextualSpacing w:val="0"/>
              <w:jc w:val="both"/>
              <w:rPr>
                <w:rFonts w:cs="Times New Roman"/>
                <w:sz w:val="20"/>
                <w:szCs w:val="20"/>
              </w:rPr>
            </w:pPr>
          </w:p>
        </w:tc>
        <w:tc>
          <w:tcPr>
            <w:tcW w:w="2185" w:type="dxa"/>
          </w:tcPr>
          <w:p w14:paraId="00E16071"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pt-BR"/>
              </w:rPr>
              <w:t>500–1750*</w:t>
            </w:r>
          </w:p>
          <w:p w14:paraId="613D8A51"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pt-BR"/>
              </w:rPr>
              <w:t>750–3000*</w:t>
            </w:r>
          </w:p>
          <w:p w14:paraId="10F03945"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pt-BR"/>
              </w:rPr>
              <w:t>700–1000</w:t>
            </w:r>
          </w:p>
          <w:p w14:paraId="6AD1C3F6"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pt-BR"/>
              </w:rPr>
              <w:t>1000</w:t>
            </w:r>
          </w:p>
          <w:p w14:paraId="0C57A18B" w14:textId="77777777" w:rsidR="006D167D" w:rsidRPr="00480E02" w:rsidRDefault="006D167D" w:rsidP="00FF47BB">
            <w:pPr>
              <w:spacing w:before="0" w:after="0" w:line="240" w:lineRule="auto"/>
              <w:contextualSpacing w:val="0"/>
              <w:jc w:val="both"/>
              <w:rPr>
                <w:rFonts w:cs="Times New Roman"/>
                <w:sz w:val="20"/>
                <w:szCs w:val="20"/>
              </w:rPr>
            </w:pPr>
          </w:p>
        </w:tc>
      </w:tr>
      <w:tr w:rsidR="00480E02" w:rsidRPr="00480E02" w14:paraId="4515490D" w14:textId="77777777" w:rsidTr="00FF47BB">
        <w:tc>
          <w:tcPr>
            <w:tcW w:w="2189" w:type="dxa"/>
          </w:tcPr>
          <w:p w14:paraId="7014ED25" w14:textId="77777777" w:rsidR="006D167D" w:rsidRPr="00480E02" w:rsidRDefault="006D167D" w:rsidP="00FF47BB">
            <w:pPr>
              <w:spacing w:before="0" w:after="0" w:line="240" w:lineRule="auto"/>
              <w:contextualSpacing w:val="0"/>
              <w:jc w:val="both"/>
              <w:rPr>
                <w:rFonts w:cs="Times New Roman"/>
                <w:sz w:val="20"/>
                <w:szCs w:val="20"/>
              </w:rPr>
            </w:pPr>
            <w:r w:rsidRPr="00480E02">
              <w:rPr>
                <w:rFonts w:cs="Times New Roman"/>
                <w:sz w:val="20"/>
                <w:szCs w:val="20"/>
              </w:rPr>
              <w:t>FMs</w:t>
            </w:r>
          </w:p>
        </w:tc>
        <w:tc>
          <w:tcPr>
            <w:tcW w:w="2198" w:type="dxa"/>
          </w:tcPr>
          <w:p w14:paraId="6DDAA8D6" w14:textId="77777777" w:rsidR="006D167D" w:rsidRPr="00480E02" w:rsidRDefault="006D167D" w:rsidP="00FF47BB">
            <w:pPr>
              <w:spacing w:before="0" w:after="0" w:line="240" w:lineRule="auto"/>
              <w:contextualSpacing w:val="0"/>
              <w:jc w:val="both"/>
              <w:rPr>
                <w:rFonts w:cs="Times New Roman"/>
                <w:sz w:val="20"/>
                <w:szCs w:val="20"/>
              </w:rPr>
            </w:pPr>
            <w:r w:rsidRPr="00480E02">
              <w:rPr>
                <w:rFonts w:cs="Times New Roman"/>
                <w:sz w:val="20"/>
                <w:szCs w:val="20"/>
              </w:rPr>
              <w:t>Maize</w:t>
            </w:r>
          </w:p>
        </w:tc>
        <w:tc>
          <w:tcPr>
            <w:tcW w:w="2215" w:type="dxa"/>
          </w:tcPr>
          <w:p w14:paraId="788C1871"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EU, Turkey, Norway</w:t>
            </w:r>
          </w:p>
          <w:p w14:paraId="3192AD40"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 xml:space="preserve">Switzerland </w:t>
            </w:r>
          </w:p>
          <w:p w14:paraId="630D3003"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 xml:space="preserve">USA </w:t>
            </w:r>
          </w:p>
          <w:p w14:paraId="0BF7D309" w14:textId="77777777" w:rsidR="006D167D" w:rsidRPr="00480E02" w:rsidRDefault="006D167D" w:rsidP="00FF47BB">
            <w:pPr>
              <w:spacing w:before="0" w:after="0" w:line="240" w:lineRule="auto"/>
              <w:contextualSpacing w:val="0"/>
              <w:jc w:val="both"/>
              <w:rPr>
                <w:rFonts w:cs="Times New Roman"/>
                <w:sz w:val="20"/>
                <w:szCs w:val="20"/>
              </w:rPr>
            </w:pPr>
            <w:r w:rsidRPr="00480E02">
              <w:rPr>
                <w:rFonts w:cs="Times New Roman"/>
                <w:sz w:val="20"/>
                <w:szCs w:val="20"/>
                <w:lang w:val="en-US"/>
              </w:rPr>
              <w:t>Brazil</w:t>
            </w:r>
          </w:p>
        </w:tc>
        <w:tc>
          <w:tcPr>
            <w:tcW w:w="2185" w:type="dxa"/>
          </w:tcPr>
          <w:p w14:paraId="3D67C1FB"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800–4000*</w:t>
            </w:r>
          </w:p>
          <w:p w14:paraId="50899F7C" w14:textId="77777777" w:rsidR="006D167D" w:rsidRPr="00480E02" w:rsidRDefault="006D167D" w:rsidP="00FF47BB">
            <w:pPr>
              <w:spacing w:before="0" w:after="0" w:line="240" w:lineRule="auto"/>
              <w:contextualSpacing w:val="0"/>
              <w:jc w:val="both"/>
              <w:rPr>
                <w:rFonts w:cs="Times New Roman"/>
                <w:sz w:val="20"/>
                <w:szCs w:val="20"/>
                <w:lang w:val="en-US"/>
              </w:rPr>
            </w:pPr>
          </w:p>
          <w:p w14:paraId="4AB84810"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2000–4000*</w:t>
            </w:r>
          </w:p>
          <w:p w14:paraId="1AB17CDC"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2000–5000*</w:t>
            </w:r>
          </w:p>
          <w:p w14:paraId="260FBEBE" w14:textId="77777777" w:rsidR="006D167D" w:rsidRPr="00480E02" w:rsidRDefault="006D167D" w:rsidP="00FF47BB">
            <w:pPr>
              <w:spacing w:before="0" w:after="0" w:line="240" w:lineRule="auto"/>
              <w:contextualSpacing w:val="0"/>
              <w:jc w:val="both"/>
              <w:rPr>
                <w:rFonts w:cs="Times New Roman"/>
                <w:sz w:val="20"/>
                <w:szCs w:val="20"/>
              </w:rPr>
            </w:pPr>
          </w:p>
        </w:tc>
      </w:tr>
      <w:tr w:rsidR="00480E02" w:rsidRPr="00480E02" w14:paraId="1FEBD795" w14:textId="77777777" w:rsidTr="00FF47BB">
        <w:tc>
          <w:tcPr>
            <w:tcW w:w="2189" w:type="dxa"/>
          </w:tcPr>
          <w:p w14:paraId="5CA0633E" w14:textId="77777777" w:rsidR="006D167D" w:rsidRPr="00480E02" w:rsidRDefault="006D167D" w:rsidP="00FF47BB">
            <w:pPr>
              <w:spacing w:before="0" w:after="0" w:line="240" w:lineRule="auto"/>
              <w:contextualSpacing w:val="0"/>
              <w:jc w:val="both"/>
              <w:rPr>
                <w:rFonts w:cs="Times New Roman"/>
                <w:sz w:val="20"/>
                <w:szCs w:val="20"/>
              </w:rPr>
            </w:pPr>
            <w:r w:rsidRPr="00480E02">
              <w:rPr>
                <w:rFonts w:cs="Times New Roman"/>
                <w:bCs/>
                <w:sz w:val="20"/>
                <w:szCs w:val="20"/>
              </w:rPr>
              <w:t>OTA</w:t>
            </w:r>
          </w:p>
        </w:tc>
        <w:tc>
          <w:tcPr>
            <w:tcW w:w="2198" w:type="dxa"/>
          </w:tcPr>
          <w:p w14:paraId="100C3477"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bCs/>
                <w:sz w:val="20"/>
                <w:szCs w:val="20"/>
                <w:lang w:val="en-US"/>
              </w:rPr>
              <w:t xml:space="preserve">Cereals, dried fruits, coffee, cocoa, wine, beer, grape juice, spices, liquor, rice, blood products </w:t>
            </w:r>
          </w:p>
          <w:p w14:paraId="3F458522" w14:textId="77777777" w:rsidR="006D167D" w:rsidRPr="00480E02" w:rsidRDefault="006D167D" w:rsidP="00FF47BB">
            <w:pPr>
              <w:spacing w:before="0" w:after="0" w:line="240" w:lineRule="auto"/>
              <w:contextualSpacing w:val="0"/>
              <w:jc w:val="both"/>
              <w:rPr>
                <w:rFonts w:cs="Times New Roman"/>
                <w:sz w:val="20"/>
                <w:szCs w:val="20"/>
              </w:rPr>
            </w:pPr>
          </w:p>
        </w:tc>
        <w:tc>
          <w:tcPr>
            <w:tcW w:w="2215" w:type="dxa"/>
          </w:tcPr>
          <w:p w14:paraId="69114343"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bCs/>
                <w:sz w:val="20"/>
                <w:szCs w:val="20"/>
                <w:lang w:val="en-US"/>
              </w:rPr>
              <w:t xml:space="preserve">EU, Egypt </w:t>
            </w:r>
          </w:p>
          <w:p w14:paraId="564E6058"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bCs/>
                <w:sz w:val="20"/>
                <w:szCs w:val="20"/>
                <w:lang w:val="en-US"/>
              </w:rPr>
              <w:t xml:space="preserve">China, Kenya, Nigeria, Russia </w:t>
            </w:r>
          </w:p>
          <w:p w14:paraId="17D2E53D"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bCs/>
                <w:sz w:val="20"/>
                <w:szCs w:val="20"/>
                <w:lang w:val="en-US"/>
              </w:rPr>
              <w:t xml:space="preserve">India </w:t>
            </w:r>
          </w:p>
          <w:p w14:paraId="10B123C3"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bCs/>
                <w:sz w:val="20"/>
                <w:szCs w:val="20"/>
                <w:lang w:val="en-US"/>
              </w:rPr>
              <w:t xml:space="preserve">Brazil </w:t>
            </w:r>
          </w:p>
          <w:p w14:paraId="76B5B811"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bCs/>
                <w:sz w:val="20"/>
                <w:szCs w:val="20"/>
                <w:lang w:val="en-US"/>
              </w:rPr>
              <w:t xml:space="preserve">Uruguay </w:t>
            </w:r>
          </w:p>
          <w:p w14:paraId="34636847" w14:textId="77777777" w:rsidR="006D167D" w:rsidRPr="00480E02" w:rsidRDefault="006D167D" w:rsidP="00FF47BB">
            <w:pPr>
              <w:spacing w:before="0" w:after="0" w:line="240" w:lineRule="auto"/>
              <w:contextualSpacing w:val="0"/>
              <w:jc w:val="both"/>
              <w:rPr>
                <w:rFonts w:cs="Times New Roman"/>
                <w:sz w:val="20"/>
                <w:szCs w:val="20"/>
              </w:rPr>
            </w:pPr>
          </w:p>
        </w:tc>
        <w:tc>
          <w:tcPr>
            <w:tcW w:w="2185" w:type="dxa"/>
          </w:tcPr>
          <w:p w14:paraId="64A42842"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bCs/>
                <w:sz w:val="20"/>
                <w:szCs w:val="20"/>
                <w:lang w:val="en-US"/>
              </w:rPr>
              <w:t>2–10*</w:t>
            </w:r>
          </w:p>
          <w:p w14:paraId="08A95C39"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bCs/>
                <w:sz w:val="20"/>
                <w:szCs w:val="20"/>
                <w:lang w:val="en-US"/>
              </w:rPr>
              <w:t>5</w:t>
            </w:r>
          </w:p>
          <w:p w14:paraId="6443ADED" w14:textId="77777777" w:rsidR="006D167D" w:rsidRPr="00480E02" w:rsidRDefault="006D167D" w:rsidP="00FF47BB">
            <w:pPr>
              <w:spacing w:before="0" w:after="0" w:line="240" w:lineRule="auto"/>
              <w:contextualSpacing w:val="0"/>
              <w:jc w:val="both"/>
              <w:rPr>
                <w:rFonts w:cs="Times New Roman"/>
                <w:bCs/>
                <w:sz w:val="20"/>
                <w:szCs w:val="20"/>
                <w:lang w:val="en-US"/>
              </w:rPr>
            </w:pPr>
          </w:p>
          <w:p w14:paraId="13745848"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bCs/>
                <w:sz w:val="20"/>
                <w:szCs w:val="20"/>
                <w:lang w:val="en-US"/>
              </w:rPr>
              <w:t>20</w:t>
            </w:r>
          </w:p>
          <w:p w14:paraId="716B8D4E"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bCs/>
                <w:sz w:val="20"/>
                <w:szCs w:val="20"/>
                <w:lang w:val="en-US"/>
              </w:rPr>
              <w:t>2–30*</w:t>
            </w:r>
          </w:p>
          <w:p w14:paraId="4618F0A8"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bCs/>
                <w:sz w:val="20"/>
                <w:szCs w:val="20"/>
                <w:lang w:val="en-US"/>
              </w:rPr>
              <w:t xml:space="preserve">50 </w:t>
            </w:r>
          </w:p>
          <w:p w14:paraId="45D538AB" w14:textId="77777777" w:rsidR="006D167D" w:rsidRPr="00480E02" w:rsidRDefault="006D167D" w:rsidP="00FF47BB">
            <w:pPr>
              <w:spacing w:before="0" w:after="0" w:line="240" w:lineRule="auto"/>
              <w:contextualSpacing w:val="0"/>
              <w:jc w:val="both"/>
              <w:rPr>
                <w:rFonts w:cs="Times New Roman"/>
                <w:sz w:val="20"/>
                <w:szCs w:val="20"/>
              </w:rPr>
            </w:pPr>
          </w:p>
        </w:tc>
      </w:tr>
      <w:tr w:rsidR="00480E02" w:rsidRPr="00480E02" w14:paraId="0E64D174" w14:textId="77777777" w:rsidTr="00FF47BB">
        <w:tc>
          <w:tcPr>
            <w:tcW w:w="2189" w:type="dxa"/>
          </w:tcPr>
          <w:p w14:paraId="35BA3257" w14:textId="77777777" w:rsidR="006D167D" w:rsidRPr="00480E02" w:rsidRDefault="006D167D" w:rsidP="00FF47BB">
            <w:pPr>
              <w:spacing w:before="0" w:after="0" w:line="240" w:lineRule="auto"/>
              <w:contextualSpacing w:val="0"/>
              <w:jc w:val="both"/>
              <w:rPr>
                <w:rFonts w:cs="Times New Roman"/>
                <w:sz w:val="20"/>
                <w:szCs w:val="20"/>
                <w:lang w:val="en-US"/>
              </w:rPr>
            </w:pPr>
            <w:proofErr w:type="spellStart"/>
            <w:r w:rsidRPr="00480E02">
              <w:rPr>
                <w:rFonts w:cs="Times New Roman"/>
                <w:sz w:val="20"/>
                <w:szCs w:val="20"/>
                <w:lang w:val="en-US"/>
              </w:rPr>
              <w:t>Patulin</w:t>
            </w:r>
            <w:proofErr w:type="spellEnd"/>
            <w:r w:rsidRPr="00480E02">
              <w:rPr>
                <w:rFonts w:cs="Times New Roman"/>
                <w:sz w:val="20"/>
                <w:szCs w:val="20"/>
                <w:lang w:val="en-US"/>
              </w:rPr>
              <w:t xml:space="preserve"> </w:t>
            </w:r>
          </w:p>
          <w:p w14:paraId="432A0AD2" w14:textId="77777777" w:rsidR="006D167D" w:rsidRPr="00480E02" w:rsidRDefault="006D167D" w:rsidP="00FF47BB">
            <w:pPr>
              <w:spacing w:before="0" w:after="0" w:line="240" w:lineRule="auto"/>
              <w:contextualSpacing w:val="0"/>
              <w:jc w:val="both"/>
              <w:rPr>
                <w:rFonts w:cs="Times New Roman"/>
                <w:sz w:val="20"/>
                <w:szCs w:val="20"/>
              </w:rPr>
            </w:pPr>
          </w:p>
        </w:tc>
        <w:tc>
          <w:tcPr>
            <w:tcW w:w="2198" w:type="dxa"/>
          </w:tcPr>
          <w:p w14:paraId="3EEE049D"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 xml:space="preserve">Fruit juice, apple products </w:t>
            </w:r>
          </w:p>
          <w:p w14:paraId="4C33CB35" w14:textId="77777777" w:rsidR="006D167D" w:rsidRPr="00480E02" w:rsidRDefault="006D167D" w:rsidP="00FF47BB">
            <w:pPr>
              <w:spacing w:before="0" w:after="0" w:line="240" w:lineRule="auto"/>
              <w:contextualSpacing w:val="0"/>
              <w:jc w:val="both"/>
              <w:rPr>
                <w:rFonts w:cs="Times New Roman"/>
                <w:sz w:val="20"/>
                <w:szCs w:val="20"/>
              </w:rPr>
            </w:pPr>
          </w:p>
        </w:tc>
        <w:tc>
          <w:tcPr>
            <w:tcW w:w="2215" w:type="dxa"/>
          </w:tcPr>
          <w:p w14:paraId="7A0797BA"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 xml:space="preserve">Brazil, China, EU, India, Japan, Kenya, Nigeria, Russia, South Africa, USA </w:t>
            </w:r>
          </w:p>
          <w:p w14:paraId="1054B4DB" w14:textId="77777777" w:rsidR="006D167D" w:rsidRPr="00480E02" w:rsidRDefault="006D167D" w:rsidP="00FF47BB">
            <w:pPr>
              <w:spacing w:before="0" w:after="0" w:line="240" w:lineRule="auto"/>
              <w:contextualSpacing w:val="0"/>
              <w:jc w:val="both"/>
              <w:rPr>
                <w:rFonts w:cs="Times New Roman"/>
                <w:sz w:val="20"/>
                <w:szCs w:val="20"/>
              </w:rPr>
            </w:pPr>
          </w:p>
        </w:tc>
        <w:tc>
          <w:tcPr>
            <w:tcW w:w="2185" w:type="dxa"/>
          </w:tcPr>
          <w:p w14:paraId="1CAAF9D2"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50</w:t>
            </w:r>
          </w:p>
          <w:p w14:paraId="663EB2F8" w14:textId="77777777" w:rsidR="006D167D" w:rsidRPr="00480E02" w:rsidRDefault="006D167D" w:rsidP="00FF47BB">
            <w:pPr>
              <w:spacing w:before="0" w:after="0" w:line="240" w:lineRule="auto"/>
              <w:contextualSpacing w:val="0"/>
              <w:jc w:val="both"/>
              <w:rPr>
                <w:rFonts w:cs="Times New Roman"/>
                <w:sz w:val="20"/>
                <w:szCs w:val="20"/>
              </w:rPr>
            </w:pPr>
          </w:p>
        </w:tc>
      </w:tr>
      <w:tr w:rsidR="00480E02" w:rsidRPr="00480E02" w14:paraId="5996744E" w14:textId="77777777" w:rsidTr="00FF47BB">
        <w:tc>
          <w:tcPr>
            <w:tcW w:w="2189" w:type="dxa"/>
          </w:tcPr>
          <w:p w14:paraId="4CC3FE32"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 xml:space="preserve">T-2 and HT-2 </w:t>
            </w:r>
          </w:p>
          <w:p w14:paraId="15FBA0B4" w14:textId="77777777" w:rsidR="006D167D" w:rsidRPr="00480E02" w:rsidRDefault="006D167D" w:rsidP="00FF47BB">
            <w:pPr>
              <w:spacing w:before="0" w:after="0" w:line="240" w:lineRule="auto"/>
              <w:contextualSpacing w:val="0"/>
              <w:jc w:val="both"/>
              <w:rPr>
                <w:rFonts w:cs="Times New Roman"/>
                <w:sz w:val="20"/>
                <w:szCs w:val="20"/>
              </w:rPr>
            </w:pPr>
          </w:p>
        </w:tc>
        <w:tc>
          <w:tcPr>
            <w:tcW w:w="2198" w:type="dxa"/>
          </w:tcPr>
          <w:p w14:paraId="7150D960"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 xml:space="preserve">Cereals </w:t>
            </w:r>
          </w:p>
          <w:p w14:paraId="45B03CB9" w14:textId="77777777" w:rsidR="006D167D" w:rsidRPr="00480E02" w:rsidRDefault="006D167D" w:rsidP="00FF47BB">
            <w:pPr>
              <w:spacing w:before="0" w:after="0" w:line="240" w:lineRule="auto"/>
              <w:contextualSpacing w:val="0"/>
              <w:jc w:val="both"/>
              <w:rPr>
                <w:rFonts w:cs="Times New Roman"/>
                <w:sz w:val="20"/>
                <w:szCs w:val="20"/>
              </w:rPr>
            </w:pPr>
          </w:p>
        </w:tc>
        <w:tc>
          <w:tcPr>
            <w:tcW w:w="2215" w:type="dxa"/>
          </w:tcPr>
          <w:p w14:paraId="151660FF"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 xml:space="preserve">EU </w:t>
            </w:r>
          </w:p>
          <w:p w14:paraId="1693DDAC"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 xml:space="preserve">Russia </w:t>
            </w:r>
          </w:p>
          <w:p w14:paraId="41ABCA74" w14:textId="77777777" w:rsidR="006D167D" w:rsidRPr="00480E02" w:rsidRDefault="006D167D" w:rsidP="00FF47BB">
            <w:pPr>
              <w:spacing w:before="0" w:after="0" w:line="240" w:lineRule="auto"/>
              <w:contextualSpacing w:val="0"/>
              <w:jc w:val="both"/>
              <w:rPr>
                <w:rFonts w:cs="Times New Roman"/>
                <w:sz w:val="20"/>
                <w:szCs w:val="20"/>
              </w:rPr>
            </w:pPr>
          </w:p>
        </w:tc>
        <w:tc>
          <w:tcPr>
            <w:tcW w:w="2185" w:type="dxa"/>
          </w:tcPr>
          <w:p w14:paraId="76829C1A"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 xml:space="preserve">Not permitted </w:t>
            </w:r>
          </w:p>
          <w:p w14:paraId="0BAB9B18"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50-100*</w:t>
            </w:r>
          </w:p>
          <w:p w14:paraId="51698EC1" w14:textId="77777777" w:rsidR="006D167D" w:rsidRPr="00480E02" w:rsidRDefault="006D167D" w:rsidP="00FF47BB">
            <w:pPr>
              <w:spacing w:before="0" w:after="0" w:line="240" w:lineRule="auto"/>
              <w:contextualSpacing w:val="0"/>
              <w:jc w:val="both"/>
              <w:rPr>
                <w:rFonts w:cs="Times New Roman"/>
                <w:sz w:val="20"/>
                <w:szCs w:val="20"/>
              </w:rPr>
            </w:pPr>
          </w:p>
        </w:tc>
      </w:tr>
      <w:tr w:rsidR="00480E02" w:rsidRPr="00480E02" w14:paraId="6CC3C646" w14:textId="77777777" w:rsidTr="00FF47BB">
        <w:tc>
          <w:tcPr>
            <w:tcW w:w="2189" w:type="dxa"/>
            <w:tcBorders>
              <w:bottom w:val="single" w:sz="12" w:space="0" w:color="auto"/>
            </w:tcBorders>
          </w:tcPr>
          <w:p w14:paraId="7BF8A747" w14:textId="77777777" w:rsidR="006D167D" w:rsidRPr="00480E02" w:rsidRDefault="006D167D" w:rsidP="00FF47BB">
            <w:pPr>
              <w:spacing w:before="0" w:after="0" w:line="240" w:lineRule="auto"/>
              <w:contextualSpacing w:val="0"/>
              <w:jc w:val="both"/>
              <w:rPr>
                <w:rFonts w:cs="Times New Roman"/>
                <w:sz w:val="20"/>
                <w:szCs w:val="20"/>
              </w:rPr>
            </w:pPr>
            <w:r w:rsidRPr="00480E02">
              <w:rPr>
                <w:rFonts w:cs="Times New Roman"/>
                <w:sz w:val="20"/>
                <w:szCs w:val="20"/>
              </w:rPr>
              <w:t>ZON</w:t>
            </w:r>
          </w:p>
        </w:tc>
        <w:tc>
          <w:tcPr>
            <w:tcW w:w="2198" w:type="dxa"/>
            <w:tcBorders>
              <w:bottom w:val="single" w:sz="12" w:space="0" w:color="auto"/>
            </w:tcBorders>
          </w:tcPr>
          <w:p w14:paraId="0D3651EC"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en-US"/>
              </w:rPr>
              <w:t xml:space="preserve">Cereals, bakery products, maize oil </w:t>
            </w:r>
          </w:p>
          <w:p w14:paraId="77F17969" w14:textId="77777777" w:rsidR="006D167D" w:rsidRPr="00480E02" w:rsidRDefault="006D167D" w:rsidP="00FF47BB">
            <w:pPr>
              <w:spacing w:before="0" w:after="0" w:line="240" w:lineRule="auto"/>
              <w:contextualSpacing w:val="0"/>
              <w:jc w:val="both"/>
              <w:rPr>
                <w:rFonts w:cs="Times New Roman"/>
                <w:sz w:val="20"/>
                <w:szCs w:val="20"/>
              </w:rPr>
            </w:pPr>
          </w:p>
        </w:tc>
        <w:tc>
          <w:tcPr>
            <w:tcW w:w="2215" w:type="dxa"/>
            <w:tcBorders>
              <w:bottom w:val="single" w:sz="12" w:space="0" w:color="auto"/>
            </w:tcBorders>
          </w:tcPr>
          <w:p w14:paraId="05CBB792"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it-IT"/>
              </w:rPr>
              <w:t>EU</w:t>
            </w:r>
          </w:p>
          <w:p w14:paraId="734E0A6B"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it-IT"/>
              </w:rPr>
              <w:t xml:space="preserve"> Brazil</w:t>
            </w:r>
          </w:p>
          <w:p w14:paraId="13F2956C"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it-IT"/>
              </w:rPr>
              <w:t xml:space="preserve"> China, Russia, Chile </w:t>
            </w:r>
          </w:p>
          <w:p w14:paraId="5C5B0F19" w14:textId="77777777" w:rsidR="006D167D" w:rsidRPr="00480E02" w:rsidRDefault="006D167D" w:rsidP="00FF47BB">
            <w:pPr>
              <w:spacing w:before="0" w:after="0" w:line="240" w:lineRule="auto"/>
              <w:contextualSpacing w:val="0"/>
              <w:jc w:val="both"/>
              <w:rPr>
                <w:rFonts w:cs="Times New Roman"/>
                <w:sz w:val="20"/>
                <w:szCs w:val="20"/>
              </w:rPr>
            </w:pPr>
          </w:p>
        </w:tc>
        <w:tc>
          <w:tcPr>
            <w:tcW w:w="2185" w:type="dxa"/>
            <w:tcBorders>
              <w:bottom w:val="single" w:sz="12" w:space="0" w:color="auto"/>
            </w:tcBorders>
          </w:tcPr>
          <w:p w14:paraId="2C5F1B22"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it-IT"/>
              </w:rPr>
              <w:t>75–400*</w:t>
            </w:r>
          </w:p>
          <w:p w14:paraId="57A0B427"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it-IT"/>
              </w:rPr>
              <w:t>200–1000*</w:t>
            </w:r>
          </w:p>
          <w:p w14:paraId="4B2C1CFA" w14:textId="77777777" w:rsidR="006D167D" w:rsidRPr="00480E02" w:rsidRDefault="006D167D" w:rsidP="00FF47BB">
            <w:pPr>
              <w:spacing w:before="0" w:after="0" w:line="240" w:lineRule="auto"/>
              <w:contextualSpacing w:val="0"/>
              <w:jc w:val="both"/>
              <w:rPr>
                <w:rFonts w:cs="Times New Roman"/>
                <w:sz w:val="20"/>
                <w:szCs w:val="20"/>
                <w:lang w:val="en-US"/>
              </w:rPr>
            </w:pPr>
            <w:r w:rsidRPr="00480E02">
              <w:rPr>
                <w:rFonts w:cs="Times New Roman"/>
                <w:sz w:val="20"/>
                <w:szCs w:val="20"/>
                <w:lang w:val="it-IT"/>
              </w:rPr>
              <w:t>200,000</w:t>
            </w:r>
          </w:p>
          <w:p w14:paraId="7660705E" w14:textId="77777777" w:rsidR="006D167D" w:rsidRPr="00480E02" w:rsidRDefault="006D167D" w:rsidP="00FF47BB">
            <w:pPr>
              <w:spacing w:before="0" w:after="0" w:line="240" w:lineRule="auto"/>
              <w:contextualSpacing w:val="0"/>
              <w:jc w:val="both"/>
              <w:rPr>
                <w:rFonts w:cs="Times New Roman"/>
                <w:sz w:val="20"/>
                <w:szCs w:val="20"/>
              </w:rPr>
            </w:pPr>
          </w:p>
        </w:tc>
      </w:tr>
    </w:tbl>
    <w:p w14:paraId="75E7B47D" w14:textId="2D9A5CA6" w:rsidR="00C8005A" w:rsidRPr="00480E02" w:rsidRDefault="006D167D" w:rsidP="00C8005A">
      <w:pPr>
        <w:spacing w:before="0" w:after="160" w:line="259" w:lineRule="auto"/>
        <w:contextualSpacing w:val="0"/>
        <w:rPr>
          <w:iCs/>
          <w:szCs w:val="18"/>
        </w:rPr>
      </w:pPr>
      <w:r w:rsidRPr="00480E02">
        <w:rPr>
          <w:rFonts w:cs="Times New Roman"/>
          <w:sz w:val="20"/>
          <w:szCs w:val="20"/>
        </w:rPr>
        <w:t>*Depends on the commodity (lowest-highest MTL)</w:t>
      </w:r>
      <w:r w:rsidRPr="00480E02">
        <w:rPr>
          <w:rFonts w:cs="Times New Roman"/>
          <w:sz w:val="20"/>
          <w:szCs w:val="20"/>
        </w:rPr>
        <w:br/>
      </w:r>
      <w:proofErr w:type="spellStart"/>
      <w:r w:rsidRPr="00480E02">
        <w:rPr>
          <w:rFonts w:cs="Times New Roman"/>
          <w:sz w:val="20"/>
          <w:szCs w:val="20"/>
          <w:vertAlign w:val="superscript"/>
        </w:rPr>
        <w:t>a</w:t>
      </w:r>
      <w:proofErr w:type="spellEnd"/>
      <w:r w:rsidRPr="00480E02">
        <w:rPr>
          <w:rFonts w:cs="Times New Roman"/>
          <w:sz w:val="20"/>
          <w:szCs w:val="20"/>
        </w:rPr>
        <w:t xml:space="preserve"> Advisory level</w:t>
      </w:r>
      <w:r w:rsidRPr="00480E02">
        <w:rPr>
          <w:rFonts w:cs="Times New Roman"/>
          <w:sz w:val="20"/>
          <w:szCs w:val="20"/>
        </w:rPr>
        <w:br/>
      </w:r>
      <w:r w:rsidR="00C8005A" w:rsidRPr="00480E02">
        <w:br w:type="page"/>
      </w:r>
    </w:p>
    <w:p w14:paraId="457F5109" w14:textId="77777777" w:rsidR="00C8005A" w:rsidRPr="00480E02" w:rsidRDefault="00C8005A" w:rsidP="00C8005A">
      <w:pPr>
        <w:pStyle w:val="Heading3"/>
        <w:spacing w:line="360" w:lineRule="auto"/>
      </w:pPr>
      <w:bookmarkStart w:id="4" w:name="_Toc530150352"/>
      <w:bookmarkEnd w:id="3"/>
      <w:r w:rsidRPr="00480E02">
        <w:lastRenderedPageBreak/>
        <w:t>Aflatoxin</w:t>
      </w:r>
      <w:bookmarkEnd w:id="4"/>
    </w:p>
    <w:p w14:paraId="405496BE" w14:textId="152C7CD0" w:rsidR="00C8005A" w:rsidRPr="00480E02" w:rsidRDefault="00C8005A" w:rsidP="00C8005A">
      <w:pPr>
        <w:spacing w:line="360" w:lineRule="auto"/>
        <w:jc w:val="both"/>
        <w:rPr>
          <w:rFonts w:cs="Times New Roman"/>
          <w:szCs w:val="24"/>
        </w:rPr>
      </w:pPr>
      <w:r w:rsidRPr="00480E02">
        <w:rPr>
          <w:rFonts w:cs="Times New Roman"/>
          <w:szCs w:val="24"/>
        </w:rPr>
        <w:t xml:space="preserve">Toxigenic strains of </w:t>
      </w:r>
      <w:r w:rsidRPr="00480E02">
        <w:rPr>
          <w:rFonts w:cs="Times New Roman"/>
          <w:i/>
          <w:szCs w:val="24"/>
        </w:rPr>
        <w:t>Aspergillus</w:t>
      </w:r>
      <w:r w:rsidRPr="00480E02">
        <w:rPr>
          <w:rFonts w:cs="Times New Roman"/>
          <w:szCs w:val="24"/>
        </w:rPr>
        <w:t xml:space="preserve"> species produce cancerous secondary metabolites in agricultural foodstuffs known as aflatoxins. They are very stable and can withstand conventional food processing. Aflatoxins have been isolated in various commodities including barley, wheat, sorghum pear millet, oilseeds, tree nuts, milk, and butter. Aflatoxins have been linked with carcinogenicity, mutagenicity, teratogenicity, and immune suppression in animals and humans. Previous research show that they are the most hazardous of all mycotoxins, causing damage to the liver. Aflatoxins have also been linked with aggravation of kwashiorkor and impaired childhood growth.  They can depress cell-mediated immunity and cause stunting in children. Evidence from studies indicates that aflatoxins increase the rate of progression from HIV infection to AIDS. Consumption of food heavily contaminated with aflatoxin (&gt; 20 ppb) has been linked to death. </w:t>
      </w:r>
    </w:p>
    <w:p w14:paraId="0827D403" w14:textId="77777777" w:rsidR="00C8005A" w:rsidRPr="00480E02" w:rsidRDefault="00C8005A" w:rsidP="00C8005A">
      <w:pPr>
        <w:spacing w:line="360" w:lineRule="auto"/>
        <w:jc w:val="both"/>
        <w:rPr>
          <w:rFonts w:cs="Times New Roman"/>
          <w:szCs w:val="24"/>
        </w:rPr>
      </w:pPr>
    </w:p>
    <w:p w14:paraId="7AFD3A86" w14:textId="43B5A1F7" w:rsidR="00C8005A" w:rsidRPr="00480E02" w:rsidRDefault="00C8005A" w:rsidP="00C8005A">
      <w:pPr>
        <w:spacing w:line="360" w:lineRule="auto"/>
        <w:jc w:val="both"/>
        <w:rPr>
          <w:rFonts w:cs="Times New Roman"/>
          <w:szCs w:val="24"/>
        </w:rPr>
      </w:pPr>
      <w:r w:rsidRPr="00480E02">
        <w:rPr>
          <w:rFonts w:cs="Times New Roman"/>
          <w:szCs w:val="24"/>
        </w:rPr>
        <w:t>Eighteen different aflatoxins have been identified, of which six are of concern in agricultural foodstuff and they include AFB</w:t>
      </w:r>
      <w:r w:rsidRPr="00480E02">
        <w:rPr>
          <w:rFonts w:cs="Times New Roman"/>
          <w:szCs w:val="24"/>
          <w:vertAlign w:val="subscript"/>
        </w:rPr>
        <w:t>1</w:t>
      </w:r>
      <w:r w:rsidRPr="00480E02">
        <w:rPr>
          <w:rFonts w:cs="Times New Roman"/>
          <w:szCs w:val="24"/>
        </w:rPr>
        <w:t>, AFB</w:t>
      </w:r>
      <w:r w:rsidRPr="00480E02">
        <w:rPr>
          <w:rFonts w:cs="Times New Roman"/>
          <w:szCs w:val="24"/>
          <w:vertAlign w:val="subscript"/>
        </w:rPr>
        <w:t>2</w:t>
      </w:r>
      <w:r w:rsidRPr="00480E02">
        <w:rPr>
          <w:rFonts w:cs="Times New Roman"/>
          <w:szCs w:val="24"/>
        </w:rPr>
        <w:t>, AFG</w:t>
      </w:r>
      <w:r w:rsidRPr="00480E02">
        <w:rPr>
          <w:rFonts w:cs="Times New Roman"/>
          <w:szCs w:val="24"/>
          <w:vertAlign w:val="subscript"/>
        </w:rPr>
        <w:t>1</w:t>
      </w:r>
      <w:r w:rsidRPr="00480E02">
        <w:rPr>
          <w:rFonts w:cs="Times New Roman"/>
          <w:szCs w:val="24"/>
        </w:rPr>
        <w:t>, AFG</w:t>
      </w:r>
      <w:r w:rsidRPr="00480E02">
        <w:rPr>
          <w:rFonts w:cs="Times New Roman"/>
          <w:szCs w:val="24"/>
          <w:vertAlign w:val="subscript"/>
        </w:rPr>
        <w:t>2</w:t>
      </w:r>
      <w:r w:rsidRPr="00480E02">
        <w:rPr>
          <w:rFonts w:cs="Times New Roman"/>
          <w:szCs w:val="24"/>
        </w:rPr>
        <w:t>, AM</w:t>
      </w:r>
      <w:r w:rsidRPr="00480E02">
        <w:rPr>
          <w:rFonts w:cs="Times New Roman"/>
          <w:szCs w:val="24"/>
          <w:vertAlign w:val="subscript"/>
        </w:rPr>
        <w:t>1</w:t>
      </w:r>
      <w:r w:rsidRPr="00480E02">
        <w:rPr>
          <w:rFonts w:cs="Times New Roman"/>
          <w:szCs w:val="24"/>
        </w:rPr>
        <w:t>and AM</w:t>
      </w:r>
      <w:r w:rsidRPr="00480E02">
        <w:rPr>
          <w:rFonts w:cs="Times New Roman"/>
          <w:szCs w:val="24"/>
          <w:vertAlign w:val="subscript"/>
        </w:rPr>
        <w:t>2</w:t>
      </w:r>
      <w:r w:rsidRPr="00480E02">
        <w:rPr>
          <w:rFonts w:cs="Times New Roman"/>
          <w:szCs w:val="24"/>
        </w:rPr>
        <w:t>. Aflatoxin B</w:t>
      </w:r>
      <w:r w:rsidRPr="00480E02">
        <w:rPr>
          <w:rFonts w:cs="Times New Roman"/>
          <w:szCs w:val="24"/>
          <w:vertAlign w:val="subscript"/>
        </w:rPr>
        <w:t>1</w:t>
      </w:r>
      <w:r w:rsidRPr="00480E02">
        <w:rPr>
          <w:rFonts w:cs="Times New Roman"/>
          <w:szCs w:val="24"/>
        </w:rPr>
        <w:t xml:space="preserve"> (AFB</w:t>
      </w:r>
      <w:r w:rsidRPr="00480E02">
        <w:rPr>
          <w:rFonts w:cs="Times New Roman"/>
          <w:szCs w:val="24"/>
          <w:vertAlign w:val="subscript"/>
        </w:rPr>
        <w:t>1</w:t>
      </w:r>
      <w:r w:rsidRPr="00480E02">
        <w:rPr>
          <w:rFonts w:cs="Times New Roman"/>
          <w:szCs w:val="24"/>
        </w:rPr>
        <w:t>), AFG</w:t>
      </w:r>
      <w:r w:rsidRPr="00480E02">
        <w:rPr>
          <w:rFonts w:cs="Times New Roman"/>
          <w:szCs w:val="24"/>
          <w:vertAlign w:val="subscript"/>
        </w:rPr>
        <w:t>1</w:t>
      </w:r>
      <w:r w:rsidRPr="00480E02">
        <w:rPr>
          <w:rFonts w:cs="Times New Roman"/>
          <w:szCs w:val="24"/>
        </w:rPr>
        <w:t>, AFB</w:t>
      </w:r>
      <w:r w:rsidRPr="00480E02">
        <w:rPr>
          <w:rFonts w:cs="Times New Roman"/>
          <w:szCs w:val="24"/>
          <w:vertAlign w:val="subscript"/>
        </w:rPr>
        <w:t>2</w:t>
      </w:r>
      <w:r w:rsidRPr="00480E02">
        <w:rPr>
          <w:rFonts w:cs="Times New Roman"/>
          <w:szCs w:val="24"/>
        </w:rPr>
        <w:t>, and AFG</w:t>
      </w:r>
      <w:r w:rsidRPr="00480E02">
        <w:rPr>
          <w:rFonts w:cs="Times New Roman"/>
          <w:szCs w:val="24"/>
          <w:vertAlign w:val="subscript"/>
        </w:rPr>
        <w:t>2</w:t>
      </w:r>
      <w:r w:rsidRPr="00480E02">
        <w:rPr>
          <w:rFonts w:cs="Times New Roman"/>
          <w:szCs w:val="24"/>
        </w:rPr>
        <w:t>, in order of decreasing toxicity</w:t>
      </w:r>
      <w:r w:rsidR="00445233" w:rsidRPr="00480E02">
        <w:rPr>
          <w:rFonts w:cs="Times New Roman"/>
          <w:szCs w:val="24"/>
        </w:rPr>
        <w:t>, occur naturally</w:t>
      </w:r>
      <w:r w:rsidRPr="00480E02">
        <w:rPr>
          <w:rFonts w:cs="Times New Roman"/>
          <w:szCs w:val="24"/>
        </w:rPr>
        <w:t>. The International Agency for Research on Cancer (IARC) has classified these aflatoxins (AFB</w:t>
      </w:r>
      <w:r w:rsidRPr="00480E02">
        <w:rPr>
          <w:rFonts w:cs="Times New Roman"/>
          <w:szCs w:val="24"/>
          <w:vertAlign w:val="subscript"/>
        </w:rPr>
        <w:t>1</w:t>
      </w:r>
      <w:r w:rsidRPr="00480E02">
        <w:rPr>
          <w:rFonts w:cs="Times New Roman"/>
          <w:szCs w:val="24"/>
        </w:rPr>
        <w:t>, AFG</w:t>
      </w:r>
      <w:r w:rsidRPr="00480E02">
        <w:rPr>
          <w:rFonts w:cs="Times New Roman"/>
          <w:szCs w:val="24"/>
          <w:vertAlign w:val="subscript"/>
        </w:rPr>
        <w:t>1</w:t>
      </w:r>
      <w:r w:rsidRPr="00480E02">
        <w:rPr>
          <w:rFonts w:cs="Times New Roman"/>
          <w:szCs w:val="24"/>
        </w:rPr>
        <w:t>, AFB</w:t>
      </w:r>
      <w:r w:rsidRPr="00480E02">
        <w:rPr>
          <w:rFonts w:cs="Times New Roman"/>
          <w:szCs w:val="24"/>
          <w:vertAlign w:val="subscript"/>
        </w:rPr>
        <w:t>2</w:t>
      </w:r>
      <w:r w:rsidRPr="00480E02">
        <w:rPr>
          <w:rFonts w:cs="Times New Roman"/>
          <w:szCs w:val="24"/>
        </w:rPr>
        <w:t>, AFG</w:t>
      </w:r>
      <w:r w:rsidRPr="00480E02">
        <w:rPr>
          <w:rFonts w:cs="Times New Roman"/>
          <w:szCs w:val="24"/>
          <w:vertAlign w:val="subscript"/>
        </w:rPr>
        <w:t>2</w:t>
      </w:r>
      <w:r w:rsidRPr="00480E02">
        <w:rPr>
          <w:rFonts w:cs="Times New Roman"/>
          <w:szCs w:val="24"/>
        </w:rPr>
        <w:t>) as Group 1 carcinogens. Aflatoxins M</w:t>
      </w:r>
      <w:r w:rsidRPr="00480E02">
        <w:rPr>
          <w:rFonts w:cs="Times New Roman"/>
          <w:szCs w:val="24"/>
          <w:vertAlign w:val="subscript"/>
        </w:rPr>
        <w:t>1</w:t>
      </w:r>
      <w:r w:rsidRPr="00480E02">
        <w:rPr>
          <w:rFonts w:cs="Times New Roman"/>
          <w:szCs w:val="24"/>
        </w:rPr>
        <w:t xml:space="preserve"> and M</w:t>
      </w:r>
      <w:r w:rsidRPr="00480E02">
        <w:rPr>
          <w:rFonts w:cs="Times New Roman"/>
          <w:szCs w:val="24"/>
          <w:vertAlign w:val="subscript"/>
        </w:rPr>
        <w:t xml:space="preserve">2 </w:t>
      </w:r>
      <w:r w:rsidRPr="00480E02">
        <w:rPr>
          <w:rFonts w:cs="Times New Roman"/>
          <w:szCs w:val="24"/>
        </w:rPr>
        <w:t>are hydroxylated products of the B</w:t>
      </w:r>
      <w:r w:rsidRPr="00480E02">
        <w:rPr>
          <w:rFonts w:cs="Times New Roman"/>
          <w:szCs w:val="24"/>
          <w:vertAlign w:val="subscript"/>
        </w:rPr>
        <w:t>1</w:t>
      </w:r>
      <w:r w:rsidRPr="00480E02">
        <w:rPr>
          <w:rFonts w:cs="Times New Roman"/>
          <w:szCs w:val="24"/>
        </w:rPr>
        <w:t xml:space="preserve"> and B</w:t>
      </w:r>
      <w:r w:rsidRPr="00480E02">
        <w:rPr>
          <w:rFonts w:cs="Times New Roman"/>
          <w:szCs w:val="24"/>
          <w:vertAlign w:val="subscript"/>
        </w:rPr>
        <w:t>2</w:t>
      </w:r>
      <w:r w:rsidRPr="00480E02">
        <w:rPr>
          <w:rFonts w:cs="Times New Roman"/>
          <w:szCs w:val="24"/>
        </w:rPr>
        <w:t xml:space="preserve"> aflatoxins respectively and they are found in milk, dairy products or meat. </w:t>
      </w:r>
    </w:p>
    <w:p w14:paraId="5FBB12CD" w14:textId="77777777" w:rsidR="00C8005A" w:rsidRPr="00480E02" w:rsidRDefault="00C8005A" w:rsidP="00C8005A">
      <w:pPr>
        <w:spacing w:line="360" w:lineRule="auto"/>
        <w:jc w:val="both"/>
        <w:rPr>
          <w:rFonts w:cs="Times New Roman"/>
          <w:szCs w:val="24"/>
        </w:rPr>
      </w:pPr>
    </w:p>
    <w:p w14:paraId="26CD2082" w14:textId="7B2E0F1F" w:rsidR="00C8005A" w:rsidRPr="00480E02" w:rsidRDefault="00C8005A" w:rsidP="00C8005A">
      <w:pPr>
        <w:spacing w:line="360" w:lineRule="auto"/>
        <w:jc w:val="both"/>
        <w:rPr>
          <w:rFonts w:cs="Times New Roman"/>
          <w:szCs w:val="24"/>
        </w:rPr>
      </w:pPr>
      <w:r w:rsidRPr="00480E02">
        <w:rPr>
          <w:rFonts w:cs="Times New Roman"/>
          <w:szCs w:val="24"/>
        </w:rPr>
        <w:t>Aﬂatoxin B</w:t>
      </w:r>
      <w:r w:rsidRPr="00480E02">
        <w:rPr>
          <w:rFonts w:cs="Times New Roman"/>
          <w:szCs w:val="24"/>
          <w:vertAlign w:val="subscript"/>
        </w:rPr>
        <w:t>1</w:t>
      </w:r>
      <w:r w:rsidRPr="00480E02">
        <w:rPr>
          <w:rFonts w:cs="Times New Roman"/>
          <w:szCs w:val="24"/>
        </w:rPr>
        <w:t xml:space="preserve"> is the most potent naturally formed carcinogen and it is regarded as the strongest hepatocarcinogenic agent known. It is also an immune suppressor, inflammation promoter and growth suppressor in animals and humans. About 75% contamination in food and feed can be traced to aflatoxin B</w:t>
      </w:r>
      <w:r w:rsidRPr="00480E02">
        <w:rPr>
          <w:rFonts w:cs="Times New Roman"/>
          <w:szCs w:val="24"/>
          <w:vertAlign w:val="subscript"/>
        </w:rPr>
        <w:t xml:space="preserve">1 </w:t>
      </w:r>
      <w:r w:rsidRPr="00480E02">
        <w:rPr>
          <w:rFonts w:cs="Times New Roman"/>
          <w:szCs w:val="24"/>
        </w:rPr>
        <w:t>contamination. It is the</w:t>
      </w:r>
      <w:r w:rsidRPr="00480E02">
        <w:rPr>
          <w:rFonts w:cs="Times New Roman"/>
          <w:szCs w:val="24"/>
          <w:vertAlign w:val="subscript"/>
        </w:rPr>
        <w:t xml:space="preserve"> </w:t>
      </w:r>
      <w:r w:rsidRPr="00480E02">
        <w:rPr>
          <w:rFonts w:cs="Times New Roman"/>
          <w:szCs w:val="24"/>
        </w:rPr>
        <w:t>most common and wide-spread of the identified aflatoxins. AFB</w:t>
      </w:r>
      <w:r w:rsidRPr="00480E02">
        <w:rPr>
          <w:rFonts w:cs="Times New Roman"/>
          <w:szCs w:val="24"/>
          <w:vertAlign w:val="subscript"/>
        </w:rPr>
        <w:t xml:space="preserve">1 </w:t>
      </w:r>
      <w:r w:rsidRPr="00480E02">
        <w:rPr>
          <w:rFonts w:cs="Times New Roman"/>
          <w:szCs w:val="24"/>
        </w:rPr>
        <w:t>is so far the only mycotoxin regulated by EU with a limit of 5 µg/kg for finish feed for dairy animals to 20 µg/kg for raw materials and other finish feed. The toxicological effects are dependent on dose; at high doses, they are lethal and cause liver, myocardial and kidney tissue damage. At sub-lethal doses chronic toxicity such as liver cirrhosis occur</w:t>
      </w:r>
      <w:r w:rsidR="000C50FF">
        <w:rPr>
          <w:rFonts w:cs="Times New Roman"/>
          <w:szCs w:val="24"/>
        </w:rPr>
        <w:t>s</w:t>
      </w:r>
      <w:r w:rsidRPr="00480E02">
        <w:rPr>
          <w:rFonts w:cs="Times New Roman"/>
          <w:szCs w:val="24"/>
        </w:rPr>
        <w:t>. The maximum acceptable levels of AFB</w:t>
      </w:r>
      <w:r w:rsidRPr="00480E02">
        <w:rPr>
          <w:rFonts w:cs="Times New Roman"/>
          <w:szCs w:val="24"/>
          <w:vertAlign w:val="subscript"/>
        </w:rPr>
        <w:t>1</w:t>
      </w:r>
      <w:r w:rsidRPr="00480E02">
        <w:rPr>
          <w:rFonts w:cs="Times New Roman"/>
          <w:szCs w:val="24"/>
        </w:rPr>
        <w:t xml:space="preserve"> in cereals, peanuts, and dried fruits, either for direct human consumption or as an ingredient in foods is 4 ppb for total aflatoxins (AFB</w:t>
      </w:r>
      <w:r w:rsidRPr="00480E02">
        <w:rPr>
          <w:rFonts w:cs="Times New Roman"/>
          <w:szCs w:val="24"/>
          <w:vertAlign w:val="subscript"/>
        </w:rPr>
        <w:t>1</w:t>
      </w:r>
      <w:r w:rsidRPr="00480E02">
        <w:rPr>
          <w:rFonts w:cs="Times New Roman"/>
          <w:szCs w:val="24"/>
        </w:rPr>
        <w:t>, AFG</w:t>
      </w:r>
      <w:r w:rsidRPr="00480E02">
        <w:rPr>
          <w:rFonts w:cs="Times New Roman"/>
          <w:szCs w:val="24"/>
          <w:vertAlign w:val="subscript"/>
        </w:rPr>
        <w:t>1</w:t>
      </w:r>
      <w:r w:rsidRPr="00480E02">
        <w:rPr>
          <w:rFonts w:cs="Times New Roman"/>
          <w:szCs w:val="24"/>
        </w:rPr>
        <w:t>, AFB</w:t>
      </w:r>
      <w:r w:rsidRPr="00480E02">
        <w:rPr>
          <w:rFonts w:cs="Times New Roman"/>
          <w:szCs w:val="24"/>
          <w:vertAlign w:val="subscript"/>
        </w:rPr>
        <w:t>2</w:t>
      </w:r>
      <w:r w:rsidRPr="00480E02">
        <w:rPr>
          <w:rFonts w:cs="Times New Roman"/>
          <w:szCs w:val="24"/>
        </w:rPr>
        <w:t>, AFG</w:t>
      </w:r>
      <w:r w:rsidRPr="00480E02">
        <w:rPr>
          <w:rFonts w:cs="Times New Roman"/>
          <w:szCs w:val="24"/>
          <w:vertAlign w:val="subscript"/>
        </w:rPr>
        <w:t>2</w:t>
      </w:r>
      <w:r w:rsidRPr="00480E02">
        <w:rPr>
          <w:rFonts w:cs="Times New Roman"/>
          <w:szCs w:val="24"/>
        </w:rPr>
        <w:t>) and 2 ppb for AFB</w:t>
      </w:r>
      <w:r w:rsidRPr="00480E02">
        <w:rPr>
          <w:rFonts w:cs="Times New Roman"/>
          <w:szCs w:val="24"/>
          <w:vertAlign w:val="subscript"/>
        </w:rPr>
        <w:t>1</w:t>
      </w:r>
      <w:r w:rsidRPr="00480E02">
        <w:rPr>
          <w:rFonts w:cs="Times New Roman"/>
          <w:szCs w:val="24"/>
        </w:rPr>
        <w:t xml:space="preserve"> alone.</w:t>
      </w:r>
    </w:p>
    <w:p w14:paraId="2664F37E" w14:textId="77777777" w:rsidR="00C8005A" w:rsidRPr="00480E02" w:rsidRDefault="00C8005A" w:rsidP="00C8005A">
      <w:pPr>
        <w:spacing w:line="360" w:lineRule="auto"/>
        <w:jc w:val="both"/>
        <w:rPr>
          <w:rFonts w:cs="Times New Roman"/>
          <w:szCs w:val="24"/>
        </w:rPr>
      </w:pPr>
    </w:p>
    <w:p w14:paraId="09DE0191" w14:textId="6E16540E" w:rsidR="00C8005A" w:rsidRPr="00480E02" w:rsidRDefault="00C8005A" w:rsidP="00C8005A">
      <w:pPr>
        <w:spacing w:line="360" w:lineRule="auto"/>
        <w:jc w:val="both"/>
        <w:rPr>
          <w:rFonts w:cs="Times New Roman"/>
          <w:b/>
          <w:szCs w:val="24"/>
        </w:rPr>
      </w:pPr>
      <w:r w:rsidRPr="00480E02">
        <w:rPr>
          <w:rFonts w:cs="Times New Roman"/>
          <w:szCs w:val="24"/>
        </w:rPr>
        <w:lastRenderedPageBreak/>
        <w:t>When livestock consume mycotoxin-contaminated feed, there is a carry-over effect of mycotoxin residues into the animal (cow) milk, meat, or eggs and can be consumed by humans. Although rumen flora act as defence against mycotoxin by metabolizing some of these toxins to less toxic compounds, the rumen barrier can be altered by diseases in the animal, a change in the diet or a very high concentration of mycotoxin in the feed. This is of great concern as contaminated milk can be harmful to humans and especially to children who are more susceptible to action of toxic compounds.</w:t>
      </w:r>
    </w:p>
    <w:p w14:paraId="24EED485" w14:textId="77777777" w:rsidR="00C8005A" w:rsidRPr="00480E02" w:rsidRDefault="00C8005A" w:rsidP="00C8005A">
      <w:pPr>
        <w:pStyle w:val="Heading4"/>
        <w:spacing w:line="360" w:lineRule="auto"/>
      </w:pPr>
      <w:r w:rsidRPr="00480E02">
        <w:t>Fungal species associated with aflatoxin production</w:t>
      </w:r>
    </w:p>
    <w:p w14:paraId="795BB8AC" w14:textId="1464F592" w:rsidR="00C8005A" w:rsidRPr="00480E02" w:rsidRDefault="00C8005A" w:rsidP="00C8005A">
      <w:pPr>
        <w:spacing w:line="360" w:lineRule="auto"/>
        <w:jc w:val="both"/>
        <w:rPr>
          <w:rFonts w:cs="Times New Roman"/>
          <w:szCs w:val="24"/>
        </w:rPr>
      </w:pPr>
      <w:r w:rsidRPr="00480E02">
        <w:rPr>
          <w:rFonts w:cs="Times New Roman"/>
          <w:szCs w:val="24"/>
        </w:rPr>
        <w:t xml:space="preserve">Recent reports have suggested the production of aflatoxins by thirteen species belonging to three sections of the genus </w:t>
      </w:r>
      <w:r w:rsidRPr="00480E02">
        <w:rPr>
          <w:rFonts w:cs="Times New Roman"/>
          <w:i/>
          <w:szCs w:val="24"/>
        </w:rPr>
        <w:t>Aspergillus</w:t>
      </w:r>
      <w:r w:rsidRPr="00480E02">
        <w:rPr>
          <w:rFonts w:cs="Times New Roman"/>
          <w:szCs w:val="24"/>
        </w:rPr>
        <w:t xml:space="preserve"> section </w:t>
      </w:r>
      <w:proofErr w:type="spellStart"/>
      <w:r w:rsidRPr="00480E02">
        <w:rPr>
          <w:rFonts w:cs="Times New Roman"/>
          <w:i/>
          <w:szCs w:val="24"/>
        </w:rPr>
        <w:t>Flavi</w:t>
      </w:r>
      <w:proofErr w:type="spellEnd"/>
      <w:r w:rsidRPr="00480E02">
        <w:rPr>
          <w:rFonts w:cs="Times New Roman"/>
          <w:szCs w:val="24"/>
        </w:rPr>
        <w:t xml:space="preserve"> (</w:t>
      </w:r>
      <w:r w:rsidRPr="00480E02">
        <w:rPr>
          <w:rFonts w:cs="Times New Roman"/>
          <w:i/>
          <w:szCs w:val="24"/>
        </w:rPr>
        <w:t xml:space="preserve">A. </w:t>
      </w:r>
      <w:proofErr w:type="spellStart"/>
      <w:r w:rsidRPr="00480E02">
        <w:rPr>
          <w:rFonts w:cs="Times New Roman"/>
          <w:i/>
          <w:szCs w:val="24"/>
        </w:rPr>
        <w:t>arachidicola</w:t>
      </w:r>
      <w:proofErr w:type="spellEnd"/>
      <w:r w:rsidRPr="00480E02">
        <w:rPr>
          <w:rFonts w:cs="Times New Roman"/>
          <w:szCs w:val="24"/>
        </w:rPr>
        <w:t xml:space="preserve">, </w:t>
      </w:r>
      <w:r w:rsidRPr="00480E02">
        <w:rPr>
          <w:rFonts w:cs="Times New Roman"/>
          <w:i/>
          <w:szCs w:val="24"/>
        </w:rPr>
        <w:t xml:space="preserve">A. </w:t>
      </w:r>
      <w:proofErr w:type="spellStart"/>
      <w:r w:rsidRPr="00480E02">
        <w:rPr>
          <w:rFonts w:cs="Times New Roman"/>
          <w:i/>
          <w:szCs w:val="24"/>
        </w:rPr>
        <w:t>bombycis</w:t>
      </w:r>
      <w:proofErr w:type="spellEnd"/>
      <w:r w:rsidRPr="00480E02">
        <w:rPr>
          <w:rFonts w:cs="Times New Roman"/>
          <w:szCs w:val="24"/>
        </w:rPr>
        <w:t xml:space="preserve">, </w:t>
      </w:r>
      <w:r w:rsidRPr="00480E02">
        <w:rPr>
          <w:rFonts w:cs="Times New Roman"/>
          <w:i/>
          <w:szCs w:val="24"/>
        </w:rPr>
        <w:t>A. flavus</w:t>
      </w:r>
      <w:r w:rsidRPr="00480E02">
        <w:rPr>
          <w:rFonts w:cs="Times New Roman"/>
          <w:szCs w:val="24"/>
        </w:rPr>
        <w:t xml:space="preserve">, </w:t>
      </w:r>
      <w:r w:rsidRPr="00480E02">
        <w:rPr>
          <w:rFonts w:cs="Times New Roman"/>
          <w:i/>
          <w:szCs w:val="24"/>
        </w:rPr>
        <w:t xml:space="preserve">A. </w:t>
      </w:r>
      <w:proofErr w:type="spellStart"/>
      <w:r w:rsidRPr="00480E02">
        <w:rPr>
          <w:rFonts w:cs="Times New Roman"/>
          <w:i/>
          <w:szCs w:val="24"/>
        </w:rPr>
        <w:t>parvisclerotigenus</w:t>
      </w:r>
      <w:proofErr w:type="spellEnd"/>
      <w:r w:rsidRPr="00480E02">
        <w:rPr>
          <w:rFonts w:cs="Times New Roman"/>
          <w:szCs w:val="24"/>
        </w:rPr>
        <w:t xml:space="preserve">, </w:t>
      </w:r>
      <w:r w:rsidRPr="00480E02">
        <w:rPr>
          <w:rFonts w:cs="Times New Roman"/>
          <w:i/>
          <w:szCs w:val="24"/>
        </w:rPr>
        <w:t xml:space="preserve">A. </w:t>
      </w:r>
      <w:proofErr w:type="spellStart"/>
      <w:r w:rsidRPr="00480E02">
        <w:rPr>
          <w:rFonts w:cs="Times New Roman"/>
          <w:i/>
          <w:szCs w:val="24"/>
        </w:rPr>
        <w:t>pseudotamari</w:t>
      </w:r>
      <w:proofErr w:type="spellEnd"/>
      <w:r w:rsidRPr="00480E02">
        <w:rPr>
          <w:rFonts w:cs="Times New Roman"/>
          <w:szCs w:val="24"/>
        </w:rPr>
        <w:t xml:space="preserve">, </w:t>
      </w:r>
      <w:r w:rsidRPr="00480E02">
        <w:rPr>
          <w:rFonts w:cs="Times New Roman"/>
          <w:i/>
          <w:szCs w:val="24"/>
        </w:rPr>
        <w:t xml:space="preserve">A. </w:t>
      </w:r>
      <w:proofErr w:type="spellStart"/>
      <w:r w:rsidRPr="00480E02">
        <w:rPr>
          <w:rFonts w:cs="Times New Roman"/>
          <w:i/>
          <w:szCs w:val="24"/>
        </w:rPr>
        <w:t>minisclerotigenes</w:t>
      </w:r>
      <w:proofErr w:type="spellEnd"/>
      <w:r w:rsidRPr="00480E02">
        <w:rPr>
          <w:rFonts w:cs="Times New Roman"/>
          <w:szCs w:val="24"/>
        </w:rPr>
        <w:t xml:space="preserve">, </w:t>
      </w:r>
      <w:r w:rsidRPr="00480E02">
        <w:rPr>
          <w:rFonts w:cs="Times New Roman"/>
          <w:i/>
          <w:szCs w:val="24"/>
        </w:rPr>
        <w:t xml:space="preserve">A. </w:t>
      </w:r>
      <w:proofErr w:type="spellStart"/>
      <w:r w:rsidRPr="00480E02">
        <w:rPr>
          <w:rFonts w:cs="Times New Roman"/>
          <w:i/>
          <w:szCs w:val="24"/>
        </w:rPr>
        <w:t>nomius</w:t>
      </w:r>
      <w:proofErr w:type="spellEnd"/>
      <w:r w:rsidRPr="00480E02">
        <w:rPr>
          <w:rFonts w:cs="Times New Roman"/>
          <w:szCs w:val="24"/>
        </w:rPr>
        <w:t xml:space="preserve"> and </w:t>
      </w:r>
      <w:r w:rsidRPr="00480E02">
        <w:rPr>
          <w:rFonts w:cs="Times New Roman"/>
          <w:i/>
          <w:szCs w:val="24"/>
        </w:rPr>
        <w:t xml:space="preserve">A. </w:t>
      </w:r>
      <w:proofErr w:type="spellStart"/>
      <w:r w:rsidRPr="00480E02">
        <w:rPr>
          <w:rFonts w:cs="Times New Roman"/>
          <w:i/>
          <w:szCs w:val="24"/>
        </w:rPr>
        <w:t>parasiticus</w:t>
      </w:r>
      <w:proofErr w:type="spellEnd"/>
      <w:r w:rsidRPr="00480E02">
        <w:rPr>
          <w:rFonts w:cs="Times New Roman"/>
          <w:szCs w:val="24"/>
        </w:rPr>
        <w:t xml:space="preserve">), </w:t>
      </w:r>
      <w:proofErr w:type="spellStart"/>
      <w:r w:rsidRPr="00480E02">
        <w:rPr>
          <w:rFonts w:cs="Times New Roman"/>
          <w:i/>
          <w:szCs w:val="24"/>
        </w:rPr>
        <w:t>Nidulantes</w:t>
      </w:r>
      <w:proofErr w:type="spellEnd"/>
      <w:r w:rsidRPr="00480E02">
        <w:rPr>
          <w:rFonts w:cs="Times New Roman"/>
          <w:szCs w:val="24"/>
        </w:rPr>
        <w:t xml:space="preserve"> (</w:t>
      </w:r>
      <w:proofErr w:type="spellStart"/>
      <w:r w:rsidRPr="00480E02">
        <w:rPr>
          <w:rFonts w:cs="Times New Roman"/>
          <w:i/>
          <w:szCs w:val="24"/>
        </w:rPr>
        <w:t>Emericella</w:t>
      </w:r>
      <w:proofErr w:type="spellEnd"/>
      <w:r w:rsidRPr="00480E02">
        <w:rPr>
          <w:rFonts w:cs="Times New Roman"/>
          <w:i/>
          <w:szCs w:val="24"/>
        </w:rPr>
        <w:t xml:space="preserve"> </w:t>
      </w:r>
      <w:proofErr w:type="spellStart"/>
      <w:r w:rsidRPr="00480E02">
        <w:rPr>
          <w:rFonts w:cs="Times New Roman"/>
          <w:i/>
          <w:szCs w:val="24"/>
        </w:rPr>
        <w:t>astellata</w:t>
      </w:r>
      <w:proofErr w:type="spellEnd"/>
      <w:r w:rsidRPr="00480E02">
        <w:rPr>
          <w:rFonts w:cs="Times New Roman"/>
          <w:szCs w:val="24"/>
        </w:rPr>
        <w:t xml:space="preserve">, </w:t>
      </w:r>
      <w:r w:rsidRPr="00480E02">
        <w:rPr>
          <w:rFonts w:cs="Times New Roman"/>
          <w:i/>
          <w:szCs w:val="24"/>
        </w:rPr>
        <w:t xml:space="preserve">E. </w:t>
      </w:r>
      <w:proofErr w:type="spellStart"/>
      <w:r w:rsidRPr="00480E02">
        <w:rPr>
          <w:rFonts w:cs="Times New Roman"/>
          <w:i/>
          <w:szCs w:val="24"/>
        </w:rPr>
        <w:t>venezuelensis</w:t>
      </w:r>
      <w:proofErr w:type="spellEnd"/>
      <w:r w:rsidRPr="00480E02">
        <w:rPr>
          <w:rFonts w:cs="Times New Roman"/>
          <w:szCs w:val="24"/>
        </w:rPr>
        <w:t xml:space="preserve"> and </w:t>
      </w:r>
      <w:r w:rsidRPr="00480E02">
        <w:rPr>
          <w:rFonts w:cs="Times New Roman"/>
          <w:i/>
          <w:szCs w:val="24"/>
        </w:rPr>
        <w:t xml:space="preserve">E. </w:t>
      </w:r>
      <w:proofErr w:type="spellStart"/>
      <w:r w:rsidRPr="00480E02">
        <w:rPr>
          <w:rFonts w:cs="Times New Roman"/>
          <w:i/>
          <w:szCs w:val="24"/>
        </w:rPr>
        <w:t>olivicola</w:t>
      </w:r>
      <w:proofErr w:type="spellEnd"/>
      <w:r w:rsidRPr="00480E02">
        <w:rPr>
          <w:rFonts w:cs="Times New Roman"/>
          <w:szCs w:val="24"/>
        </w:rPr>
        <w:t xml:space="preserve">) and </w:t>
      </w:r>
      <w:proofErr w:type="spellStart"/>
      <w:r w:rsidRPr="00480E02">
        <w:rPr>
          <w:rFonts w:cs="Times New Roman"/>
          <w:i/>
          <w:szCs w:val="24"/>
        </w:rPr>
        <w:t>Ochraceorosei</w:t>
      </w:r>
      <w:proofErr w:type="spellEnd"/>
      <w:r w:rsidRPr="00480E02">
        <w:rPr>
          <w:rFonts w:cs="Times New Roman"/>
          <w:szCs w:val="24"/>
        </w:rPr>
        <w:t xml:space="preserve"> (</w:t>
      </w:r>
      <w:r w:rsidRPr="00480E02">
        <w:rPr>
          <w:rFonts w:cs="Times New Roman"/>
          <w:i/>
          <w:szCs w:val="24"/>
        </w:rPr>
        <w:t>A</w:t>
      </w:r>
      <w:r w:rsidRPr="00480E02">
        <w:rPr>
          <w:rFonts w:cs="Times New Roman"/>
          <w:szCs w:val="24"/>
        </w:rPr>
        <w:t xml:space="preserve">. </w:t>
      </w:r>
      <w:proofErr w:type="spellStart"/>
      <w:r w:rsidRPr="00480E02">
        <w:rPr>
          <w:rFonts w:cs="Times New Roman"/>
          <w:i/>
          <w:szCs w:val="24"/>
        </w:rPr>
        <w:t>ochraceoroseus</w:t>
      </w:r>
      <w:proofErr w:type="spellEnd"/>
      <w:r w:rsidRPr="00480E02">
        <w:rPr>
          <w:rFonts w:cs="Times New Roman"/>
          <w:szCs w:val="24"/>
        </w:rPr>
        <w:t xml:space="preserve"> and </w:t>
      </w:r>
      <w:r w:rsidRPr="00480E02">
        <w:rPr>
          <w:rFonts w:cs="Times New Roman"/>
          <w:i/>
          <w:szCs w:val="24"/>
        </w:rPr>
        <w:t xml:space="preserve">A. </w:t>
      </w:r>
      <w:proofErr w:type="spellStart"/>
      <w:r w:rsidRPr="00480E02">
        <w:rPr>
          <w:rFonts w:cs="Times New Roman"/>
          <w:i/>
          <w:szCs w:val="24"/>
        </w:rPr>
        <w:t>rambelli</w:t>
      </w:r>
      <w:proofErr w:type="spellEnd"/>
      <w:r w:rsidRPr="00480E02">
        <w:rPr>
          <w:rFonts w:cs="Times New Roman"/>
          <w:szCs w:val="24"/>
        </w:rPr>
        <w:t>). In dry conditions and elevated temperature, aflatoxins remain stable but can be metabolized into toxic derivatives such as epoxide, aflatoxin M</w:t>
      </w:r>
      <w:r w:rsidRPr="00480E02">
        <w:rPr>
          <w:rFonts w:cs="Times New Roman"/>
          <w:szCs w:val="24"/>
          <w:vertAlign w:val="subscript"/>
        </w:rPr>
        <w:t xml:space="preserve">1 </w:t>
      </w:r>
      <w:r w:rsidRPr="00480E02">
        <w:rPr>
          <w:rFonts w:cs="Times New Roman"/>
          <w:szCs w:val="24"/>
        </w:rPr>
        <w:t>or M</w:t>
      </w:r>
      <w:r w:rsidRPr="00480E02">
        <w:rPr>
          <w:rFonts w:cs="Times New Roman"/>
          <w:szCs w:val="24"/>
          <w:vertAlign w:val="subscript"/>
        </w:rPr>
        <w:t xml:space="preserve">2 </w:t>
      </w:r>
      <w:r w:rsidRPr="00480E02">
        <w:rPr>
          <w:rFonts w:cs="Times New Roman"/>
          <w:szCs w:val="24"/>
        </w:rPr>
        <w:t>in human and animals, and by microorganisms to less toxic derivatives such as B</w:t>
      </w:r>
      <w:r w:rsidRPr="00480E02">
        <w:rPr>
          <w:rFonts w:cs="Times New Roman"/>
          <w:szCs w:val="24"/>
          <w:vertAlign w:val="subscript"/>
        </w:rPr>
        <w:t>2a</w:t>
      </w:r>
      <w:r w:rsidRPr="00480E02">
        <w:rPr>
          <w:rFonts w:cs="Times New Roman"/>
          <w:szCs w:val="24"/>
        </w:rPr>
        <w:t xml:space="preserve">. </w:t>
      </w:r>
    </w:p>
    <w:p w14:paraId="4EC88DD4" w14:textId="77777777" w:rsidR="00C8005A" w:rsidRPr="00480E02" w:rsidRDefault="00C8005A" w:rsidP="00C8005A">
      <w:pPr>
        <w:spacing w:line="360" w:lineRule="auto"/>
        <w:jc w:val="both"/>
        <w:rPr>
          <w:rFonts w:cs="Times New Roman"/>
          <w:szCs w:val="24"/>
        </w:rPr>
      </w:pPr>
    </w:p>
    <w:p w14:paraId="7EF5D4DB" w14:textId="15C1486B" w:rsidR="00C8005A" w:rsidRPr="00480E02" w:rsidRDefault="00C8005A" w:rsidP="00C8005A">
      <w:pPr>
        <w:spacing w:line="360" w:lineRule="auto"/>
        <w:jc w:val="both"/>
        <w:rPr>
          <w:rFonts w:cs="Times New Roman"/>
          <w:szCs w:val="24"/>
        </w:rPr>
      </w:pPr>
      <w:bookmarkStart w:id="5" w:name="_Hlk525391886"/>
      <w:r w:rsidRPr="00480E02">
        <w:rPr>
          <w:rFonts w:cs="Times New Roman"/>
          <w:i/>
          <w:szCs w:val="24"/>
        </w:rPr>
        <w:t>Aspergillus flavus</w:t>
      </w:r>
      <w:r w:rsidRPr="00480E02">
        <w:rPr>
          <w:rFonts w:cs="Times New Roman"/>
          <w:szCs w:val="24"/>
        </w:rPr>
        <w:t xml:space="preserve"> is found in plants, animals, and insects.</w:t>
      </w:r>
      <w:bookmarkEnd w:id="5"/>
      <w:r w:rsidRPr="00480E02">
        <w:rPr>
          <w:rFonts w:cs="Times New Roman"/>
          <w:szCs w:val="24"/>
        </w:rPr>
        <w:t xml:space="preserve"> Optimum temperatures for growth of </w:t>
      </w:r>
      <w:r w:rsidRPr="00480E02">
        <w:rPr>
          <w:rFonts w:cs="Times New Roman"/>
          <w:i/>
          <w:szCs w:val="24"/>
        </w:rPr>
        <w:t>A. flavus</w:t>
      </w:r>
      <w:r w:rsidRPr="00480E02">
        <w:rPr>
          <w:rFonts w:cs="Times New Roman"/>
          <w:szCs w:val="24"/>
        </w:rPr>
        <w:t xml:space="preserve"> and aflatoxin production are 33°C and 16‒31°C respectively; and optimum water activity for growth and aflatoxin production are 0.98 a</w:t>
      </w:r>
      <w:r w:rsidRPr="00480E02">
        <w:rPr>
          <w:rFonts w:cs="Times New Roman"/>
          <w:szCs w:val="24"/>
          <w:vertAlign w:val="subscript"/>
        </w:rPr>
        <w:t>w</w:t>
      </w:r>
      <w:r w:rsidRPr="00480E02">
        <w:rPr>
          <w:rFonts w:cs="Times New Roman"/>
          <w:szCs w:val="24"/>
        </w:rPr>
        <w:t xml:space="preserve"> and 0.95‒0.99 a</w:t>
      </w:r>
      <w:r w:rsidRPr="00480E02">
        <w:rPr>
          <w:rFonts w:cs="Times New Roman"/>
          <w:szCs w:val="24"/>
          <w:vertAlign w:val="subscript"/>
        </w:rPr>
        <w:t>w</w:t>
      </w:r>
      <w:r w:rsidRPr="00480E02">
        <w:rPr>
          <w:rFonts w:cs="Times New Roman"/>
          <w:szCs w:val="24"/>
        </w:rPr>
        <w:t xml:space="preserve"> respectively. </w:t>
      </w:r>
      <w:r w:rsidRPr="00480E02">
        <w:rPr>
          <w:rFonts w:cs="Times New Roman"/>
          <w:i/>
          <w:szCs w:val="24"/>
        </w:rPr>
        <w:t>A. flavus</w:t>
      </w:r>
      <w:r w:rsidRPr="00480E02">
        <w:rPr>
          <w:rFonts w:cs="Times New Roman"/>
          <w:szCs w:val="24"/>
        </w:rPr>
        <w:t xml:space="preserve"> normally produce aflatoxin B derivatives while </w:t>
      </w:r>
      <w:r w:rsidRPr="00480E02">
        <w:rPr>
          <w:rFonts w:cs="Times New Roman"/>
          <w:i/>
          <w:szCs w:val="24"/>
        </w:rPr>
        <w:t xml:space="preserve">A. </w:t>
      </w:r>
      <w:proofErr w:type="spellStart"/>
      <w:r w:rsidRPr="00480E02">
        <w:rPr>
          <w:rFonts w:cs="Times New Roman"/>
          <w:i/>
          <w:szCs w:val="24"/>
        </w:rPr>
        <w:t>parasiticus</w:t>
      </w:r>
      <w:proofErr w:type="spellEnd"/>
      <w:r w:rsidRPr="00480E02">
        <w:rPr>
          <w:rFonts w:cs="Times New Roman"/>
          <w:szCs w:val="24"/>
        </w:rPr>
        <w:t xml:space="preserve"> produces both aflatoxins B and G derivatives. Both B and G aflatoxin derivatives are produced by other species that include </w:t>
      </w:r>
      <w:r w:rsidRPr="00480E02">
        <w:rPr>
          <w:rFonts w:cs="Times New Roman"/>
          <w:i/>
          <w:szCs w:val="24"/>
        </w:rPr>
        <w:t xml:space="preserve">A. </w:t>
      </w:r>
      <w:proofErr w:type="spellStart"/>
      <w:r w:rsidRPr="00480E02">
        <w:rPr>
          <w:rFonts w:cs="Times New Roman"/>
          <w:i/>
          <w:szCs w:val="24"/>
        </w:rPr>
        <w:t>toxicarius</w:t>
      </w:r>
      <w:proofErr w:type="spellEnd"/>
      <w:r w:rsidRPr="00480E02">
        <w:rPr>
          <w:rFonts w:cs="Times New Roman"/>
          <w:szCs w:val="24"/>
        </w:rPr>
        <w:t xml:space="preserve">, </w:t>
      </w:r>
      <w:r w:rsidRPr="00480E02">
        <w:rPr>
          <w:rFonts w:cs="Times New Roman"/>
          <w:i/>
          <w:szCs w:val="24"/>
        </w:rPr>
        <w:t xml:space="preserve">A. </w:t>
      </w:r>
      <w:proofErr w:type="spellStart"/>
      <w:r w:rsidRPr="00480E02">
        <w:rPr>
          <w:rFonts w:cs="Times New Roman"/>
          <w:i/>
          <w:szCs w:val="24"/>
        </w:rPr>
        <w:t>nomius</w:t>
      </w:r>
      <w:proofErr w:type="spellEnd"/>
      <w:r w:rsidRPr="00480E02">
        <w:rPr>
          <w:rFonts w:cs="Times New Roman"/>
          <w:i/>
          <w:szCs w:val="24"/>
        </w:rPr>
        <w:t>, A.</w:t>
      </w:r>
      <w:r w:rsidRPr="00480E02">
        <w:rPr>
          <w:rFonts w:cs="Times New Roman"/>
          <w:szCs w:val="24"/>
        </w:rPr>
        <w:t xml:space="preserve"> </w:t>
      </w:r>
      <w:proofErr w:type="spellStart"/>
      <w:r w:rsidRPr="00480E02">
        <w:rPr>
          <w:rFonts w:cs="Times New Roman"/>
          <w:i/>
          <w:szCs w:val="24"/>
        </w:rPr>
        <w:t>bombycis</w:t>
      </w:r>
      <w:proofErr w:type="spellEnd"/>
      <w:r w:rsidRPr="00480E02">
        <w:rPr>
          <w:rFonts w:cs="Times New Roman"/>
          <w:i/>
          <w:szCs w:val="24"/>
        </w:rPr>
        <w:t xml:space="preserve">, A. </w:t>
      </w:r>
      <w:proofErr w:type="spellStart"/>
      <w:r w:rsidRPr="00480E02">
        <w:rPr>
          <w:rFonts w:cs="Times New Roman"/>
          <w:i/>
          <w:szCs w:val="24"/>
        </w:rPr>
        <w:t>parvisclerotigenus</w:t>
      </w:r>
      <w:proofErr w:type="spellEnd"/>
      <w:r w:rsidRPr="00480E02">
        <w:rPr>
          <w:rFonts w:cs="Times New Roman"/>
          <w:i/>
          <w:szCs w:val="24"/>
        </w:rPr>
        <w:t xml:space="preserve">, A. </w:t>
      </w:r>
      <w:proofErr w:type="spellStart"/>
      <w:r w:rsidRPr="00480E02">
        <w:rPr>
          <w:rFonts w:cs="Times New Roman"/>
          <w:i/>
          <w:szCs w:val="24"/>
        </w:rPr>
        <w:t>minisclerotigenes</w:t>
      </w:r>
      <w:proofErr w:type="spellEnd"/>
      <w:r w:rsidRPr="00480E02">
        <w:rPr>
          <w:rFonts w:cs="Times New Roman"/>
          <w:i/>
          <w:szCs w:val="24"/>
        </w:rPr>
        <w:t xml:space="preserve">, </w:t>
      </w:r>
      <w:r w:rsidRPr="00480E02">
        <w:rPr>
          <w:rFonts w:cs="Times New Roman"/>
          <w:szCs w:val="24"/>
        </w:rPr>
        <w:t>and</w:t>
      </w:r>
      <w:r w:rsidRPr="00480E02">
        <w:rPr>
          <w:rFonts w:cs="Times New Roman"/>
          <w:i/>
          <w:szCs w:val="24"/>
        </w:rPr>
        <w:t xml:space="preserve"> A. </w:t>
      </w:r>
      <w:proofErr w:type="spellStart"/>
      <w:r w:rsidRPr="00480E02">
        <w:rPr>
          <w:rFonts w:cs="Times New Roman"/>
          <w:i/>
          <w:szCs w:val="24"/>
        </w:rPr>
        <w:t>arachidicola</w:t>
      </w:r>
      <w:proofErr w:type="spellEnd"/>
      <w:r w:rsidRPr="00480E02">
        <w:rPr>
          <w:rFonts w:cs="Times New Roman"/>
          <w:szCs w:val="24"/>
        </w:rPr>
        <w:t xml:space="preserve">. </w:t>
      </w:r>
    </w:p>
    <w:p w14:paraId="37F3C368" w14:textId="77777777" w:rsidR="00C8005A" w:rsidRPr="00480E02" w:rsidRDefault="00C8005A" w:rsidP="00C8005A">
      <w:pPr>
        <w:pStyle w:val="Heading4"/>
        <w:spacing w:line="360" w:lineRule="auto"/>
      </w:pPr>
      <w:r w:rsidRPr="00480E02">
        <w:t>Aflatoxin contamination in foods</w:t>
      </w:r>
    </w:p>
    <w:p w14:paraId="1D9C2B59" w14:textId="3303FD39" w:rsidR="00C8005A" w:rsidRPr="00480E02" w:rsidRDefault="00C8005A" w:rsidP="00C8005A">
      <w:pPr>
        <w:spacing w:line="360" w:lineRule="auto"/>
        <w:jc w:val="both"/>
        <w:rPr>
          <w:rFonts w:cs="Times New Roman"/>
          <w:szCs w:val="24"/>
        </w:rPr>
      </w:pPr>
      <w:r w:rsidRPr="00480E02">
        <w:rPr>
          <w:rFonts w:cs="Times New Roman"/>
          <w:szCs w:val="24"/>
        </w:rPr>
        <w:t xml:space="preserve">. Aflatoxin discovery dates to the 1960s where more than 100, 000 turkeys and other farm animals died from the consumption of Brazilian peanut contaminated with </w:t>
      </w:r>
      <w:r w:rsidRPr="00480E02">
        <w:rPr>
          <w:rFonts w:cs="Times New Roman"/>
          <w:i/>
          <w:szCs w:val="24"/>
        </w:rPr>
        <w:t xml:space="preserve">Aspergillus flavus </w:t>
      </w:r>
      <w:r w:rsidRPr="00480E02">
        <w:rPr>
          <w:rFonts w:cs="Times New Roman"/>
          <w:szCs w:val="24"/>
        </w:rPr>
        <w:t xml:space="preserve">in the UK known as the Turkey ‘X’ disease outbreak. In </w:t>
      </w:r>
      <w:proofErr w:type="spellStart"/>
      <w:r w:rsidRPr="00480E02">
        <w:rPr>
          <w:rFonts w:cs="Times New Roman"/>
          <w:szCs w:val="24"/>
        </w:rPr>
        <w:t>Gujurat</w:t>
      </w:r>
      <w:proofErr w:type="spellEnd"/>
      <w:r w:rsidRPr="00480E02">
        <w:rPr>
          <w:rFonts w:cs="Times New Roman"/>
          <w:szCs w:val="24"/>
        </w:rPr>
        <w:t xml:space="preserve"> and Rajasthan, India in 1974, </w:t>
      </w:r>
      <w:r w:rsidR="00B66F77" w:rsidRPr="00480E02">
        <w:rPr>
          <w:rFonts w:cs="Times New Roman"/>
          <w:szCs w:val="24"/>
        </w:rPr>
        <w:t>1</w:t>
      </w:r>
      <w:r w:rsidRPr="00480E02">
        <w:rPr>
          <w:rFonts w:cs="Times New Roman"/>
          <w:szCs w:val="24"/>
        </w:rPr>
        <w:t xml:space="preserve">06 deaths arising from 397 cases of hepatitis caused by consumption of maize heavily contaminated with </w:t>
      </w:r>
      <w:r w:rsidRPr="00480E02">
        <w:rPr>
          <w:rFonts w:cs="Times New Roman"/>
          <w:i/>
          <w:szCs w:val="24"/>
        </w:rPr>
        <w:t>A. flavus</w:t>
      </w:r>
      <w:r w:rsidRPr="00480E02">
        <w:rPr>
          <w:rFonts w:cs="Times New Roman"/>
          <w:szCs w:val="24"/>
        </w:rPr>
        <w:t xml:space="preserve"> and aflatoxin concentration between 6.25 and 15.6 µg/g</w:t>
      </w:r>
      <w:r w:rsidR="00B66F77" w:rsidRPr="00480E02">
        <w:rPr>
          <w:rFonts w:cs="Times New Roman"/>
          <w:szCs w:val="24"/>
        </w:rPr>
        <w:t xml:space="preserve"> was reported</w:t>
      </w:r>
      <w:r w:rsidRPr="00480E02">
        <w:rPr>
          <w:rFonts w:cs="Times New Roman"/>
          <w:szCs w:val="24"/>
        </w:rPr>
        <w:t xml:space="preserve">. In Eastern Kenya, between 2004 and 2011, 40% deaths resulted from 477 cases of acute aflatoxicosis reported </w:t>
      </w:r>
      <w:r w:rsidRPr="00480E02">
        <w:rPr>
          <w:rFonts w:cs="Times New Roman"/>
          <w:szCs w:val="24"/>
        </w:rPr>
        <w:fldChar w:fldCharType="begin"/>
      </w:r>
      <w:r w:rsidRPr="00480E02">
        <w:rPr>
          <w:rFonts w:cs="Times New Roman"/>
          <w:szCs w:val="24"/>
        </w:rPr>
        <w:instrText xml:space="preserve"> ADDIN EN.CITE &lt;EndNote&gt;&lt;Cite&gt;&lt;Author&gt;Mutiga&lt;/Author&gt;&lt;Year&gt;2014&lt;/Year&gt;&lt;RecNum&gt;326&lt;/RecNum&gt;&lt;DisplayText&gt;(Mutiga&lt;style face="italic"&gt; et al.&lt;/style&gt;, 2014)&lt;/DisplayText&gt;&lt;record&gt;&lt;rec-number&gt;326&lt;/rec-number&gt;&lt;foreign-keys&gt;&lt;key app="EN" db-id="drvxdz2aprzew7e0tf2p2xdp0we29f5txv2f" timestamp="1540541611"&gt;326&lt;/key&gt;&lt;/foreign-keys&gt;&lt;ref-type name="Journal Article"&gt;17&lt;/ref-type&gt;&lt;contributors&gt;&lt;authors&gt;&lt;author&gt;Mutiga, S K&lt;/author&gt;&lt;author&gt;Were, V&lt;/author&gt;&lt;author&gt;Hoffmann, V&lt;/author&gt;&lt;author&gt;harvey, J W&lt;/author&gt;&lt;author&gt;Milgroom, M G&lt;/author&gt;&lt;author&gt;Nelson, R J&lt;/author&gt;&lt;/authors&gt;&lt;/contributors&gt;&lt;titles&gt;&lt;title&gt;Extent and drivers of mycotoxin contamination: Inferences from a survey of Kenyan maize mills&lt;/title&gt;&lt;secondary-title&gt;Postharvest Pathology and Mycotoxins&lt;/secondary-title&gt;&lt;/titles&gt;&lt;periodical&gt;&lt;full-title&gt;Postharvest Pathology and Mycotoxins&lt;/full-title&gt;&lt;/periodical&gt;&lt;pages&gt;1221‒1231&lt;/pages&gt;&lt;volume&gt;104&lt;/volume&gt;&lt;number&gt;11&lt;/number&gt;&lt;dates&gt;&lt;year&gt;2014&lt;/year&gt;&lt;/dates&gt;&lt;urls&gt;&lt;/urls&gt;&lt;/record&gt;&lt;/Cite&gt;&lt;/EndNote&gt;</w:instrText>
      </w:r>
      <w:r w:rsidRPr="00480E02">
        <w:rPr>
          <w:rFonts w:cs="Times New Roman"/>
          <w:szCs w:val="24"/>
        </w:rPr>
        <w:fldChar w:fldCharType="end"/>
      </w:r>
      <w:r w:rsidRPr="00480E02">
        <w:rPr>
          <w:rFonts w:cs="Times New Roman"/>
          <w:szCs w:val="24"/>
        </w:rPr>
        <w:t xml:space="preserve">. Among the 317 people who became ill from consumption of maize contaminated with aflatoxin, </w:t>
      </w:r>
      <w:r w:rsidRPr="00480E02">
        <w:rPr>
          <w:rFonts w:cs="Times New Roman"/>
          <w:szCs w:val="24"/>
        </w:rPr>
        <w:lastRenderedPageBreak/>
        <w:t>125 deaths occurred. In 2010, an outbreak of aflatoxicosis also due to contaminated maize killed at least one child. A study</w:t>
      </w:r>
      <w:r w:rsidR="00B66F77" w:rsidRPr="00480E02">
        <w:rPr>
          <w:rFonts w:cs="Times New Roman"/>
          <w:szCs w:val="24"/>
        </w:rPr>
        <w:t xml:space="preserve"> </w:t>
      </w:r>
      <w:r w:rsidRPr="00480E02">
        <w:rPr>
          <w:rFonts w:cs="Times New Roman"/>
          <w:szCs w:val="24"/>
        </w:rPr>
        <w:t xml:space="preserve">demonstrated a striking relationship between exposure of children to aflatoxin, with both stunting of growth and malnutrition. Blood samples of 480 children (aged between nine months and five years) from Benin and Togo were analysed to determine dietary exposure to aflatoxin. Aflatoxin-albumin adducts were detected in 99% of the samples. Children with stunted growth or low body weight had 30–40% higher mean aflatoxin-albumin concentrations. </w:t>
      </w:r>
    </w:p>
    <w:p w14:paraId="0B37C283" w14:textId="77777777" w:rsidR="00C8005A" w:rsidRPr="00480E02" w:rsidRDefault="00C8005A" w:rsidP="00C8005A">
      <w:pPr>
        <w:spacing w:line="360" w:lineRule="auto"/>
        <w:jc w:val="both"/>
        <w:rPr>
          <w:rFonts w:cs="Times New Roman"/>
          <w:szCs w:val="24"/>
        </w:rPr>
      </w:pPr>
    </w:p>
    <w:p w14:paraId="166BA808" w14:textId="77777777" w:rsidR="00C8005A" w:rsidRPr="00480E02" w:rsidRDefault="00C8005A" w:rsidP="00C8005A">
      <w:pPr>
        <w:pStyle w:val="Heading3"/>
        <w:spacing w:line="360" w:lineRule="auto"/>
      </w:pPr>
      <w:bookmarkStart w:id="6" w:name="_Toc530150353"/>
      <w:r w:rsidRPr="00480E02">
        <w:t>Ochratoxin A</w:t>
      </w:r>
      <w:bookmarkEnd w:id="6"/>
    </w:p>
    <w:p w14:paraId="3B1A065C" w14:textId="42454FB9" w:rsidR="00C8005A" w:rsidRPr="00480E02" w:rsidRDefault="00C8005A" w:rsidP="00C8005A">
      <w:pPr>
        <w:spacing w:line="360" w:lineRule="auto"/>
        <w:jc w:val="both"/>
        <w:rPr>
          <w:rFonts w:cs="Times New Roman"/>
          <w:szCs w:val="24"/>
        </w:rPr>
      </w:pPr>
      <w:r w:rsidRPr="00480E02">
        <w:rPr>
          <w:rFonts w:cs="Times New Roman"/>
          <w:szCs w:val="24"/>
        </w:rPr>
        <w:t xml:space="preserve">Ochratoxins are a group of mycotoxins produced as secondary metabolites by </w:t>
      </w:r>
      <w:r w:rsidRPr="00480E02">
        <w:rPr>
          <w:rFonts w:cs="Times New Roman"/>
          <w:i/>
          <w:szCs w:val="24"/>
        </w:rPr>
        <w:t xml:space="preserve">A. </w:t>
      </w:r>
      <w:proofErr w:type="spellStart"/>
      <w:r w:rsidRPr="00480E02">
        <w:rPr>
          <w:rFonts w:cs="Times New Roman"/>
          <w:i/>
          <w:szCs w:val="24"/>
        </w:rPr>
        <w:t>niger</w:t>
      </w:r>
      <w:proofErr w:type="spellEnd"/>
      <w:r w:rsidRPr="00480E02">
        <w:rPr>
          <w:rFonts w:cs="Times New Roman"/>
          <w:szCs w:val="24"/>
        </w:rPr>
        <w:t xml:space="preserve">, </w:t>
      </w:r>
      <w:r w:rsidRPr="00480E02">
        <w:rPr>
          <w:rFonts w:cs="Times New Roman"/>
          <w:i/>
          <w:szCs w:val="24"/>
        </w:rPr>
        <w:t xml:space="preserve">A. </w:t>
      </w:r>
      <w:proofErr w:type="spellStart"/>
      <w:r w:rsidRPr="00480E02">
        <w:rPr>
          <w:rFonts w:cs="Times New Roman"/>
          <w:i/>
          <w:szCs w:val="24"/>
        </w:rPr>
        <w:t>ochraceus</w:t>
      </w:r>
      <w:proofErr w:type="spellEnd"/>
      <w:r w:rsidRPr="00480E02">
        <w:rPr>
          <w:rFonts w:cs="Times New Roman"/>
          <w:szCs w:val="24"/>
        </w:rPr>
        <w:t xml:space="preserve">, </w:t>
      </w:r>
      <w:r w:rsidRPr="00480E02">
        <w:rPr>
          <w:rFonts w:cs="Times New Roman"/>
          <w:i/>
          <w:szCs w:val="24"/>
        </w:rPr>
        <w:t xml:space="preserve">A. </w:t>
      </w:r>
      <w:proofErr w:type="spellStart"/>
      <w:r w:rsidRPr="00480E02">
        <w:rPr>
          <w:rFonts w:cs="Times New Roman"/>
          <w:i/>
          <w:szCs w:val="24"/>
        </w:rPr>
        <w:t>carbonarius</w:t>
      </w:r>
      <w:proofErr w:type="spellEnd"/>
      <w:r w:rsidRPr="00480E02">
        <w:rPr>
          <w:rFonts w:cs="Times New Roman"/>
          <w:szCs w:val="24"/>
        </w:rPr>
        <w:t xml:space="preserve">, </w:t>
      </w:r>
      <w:proofErr w:type="spellStart"/>
      <w:r w:rsidRPr="00480E02">
        <w:rPr>
          <w:rFonts w:cs="Times New Roman"/>
          <w:i/>
          <w:szCs w:val="24"/>
        </w:rPr>
        <w:t>Penicillium</w:t>
      </w:r>
      <w:proofErr w:type="spellEnd"/>
      <w:r w:rsidRPr="00480E02">
        <w:rPr>
          <w:rFonts w:cs="Times New Roman"/>
          <w:i/>
          <w:szCs w:val="24"/>
        </w:rPr>
        <w:t xml:space="preserve"> </w:t>
      </w:r>
      <w:proofErr w:type="spellStart"/>
      <w:r w:rsidRPr="00480E02">
        <w:rPr>
          <w:rFonts w:cs="Times New Roman"/>
          <w:i/>
          <w:szCs w:val="24"/>
        </w:rPr>
        <w:t>verrucosum</w:t>
      </w:r>
      <w:proofErr w:type="spellEnd"/>
      <w:r w:rsidRPr="00480E02">
        <w:rPr>
          <w:rFonts w:cs="Times New Roman"/>
          <w:szCs w:val="24"/>
        </w:rPr>
        <w:t xml:space="preserve">, </w:t>
      </w:r>
      <w:proofErr w:type="spellStart"/>
      <w:r w:rsidRPr="00480E02">
        <w:rPr>
          <w:rFonts w:cs="Times New Roman"/>
          <w:i/>
          <w:szCs w:val="24"/>
        </w:rPr>
        <w:t>Neopetromyces</w:t>
      </w:r>
      <w:proofErr w:type="spellEnd"/>
      <w:r w:rsidRPr="00480E02">
        <w:rPr>
          <w:rFonts w:cs="Times New Roman"/>
          <w:i/>
          <w:szCs w:val="24"/>
        </w:rPr>
        <w:t xml:space="preserve"> spp</w:t>
      </w:r>
      <w:r w:rsidRPr="00480E02">
        <w:rPr>
          <w:rFonts w:cs="Times New Roman"/>
          <w:szCs w:val="24"/>
        </w:rPr>
        <w:t xml:space="preserve">., and </w:t>
      </w:r>
      <w:proofErr w:type="spellStart"/>
      <w:r w:rsidRPr="00480E02">
        <w:rPr>
          <w:rFonts w:cs="Times New Roman"/>
          <w:i/>
          <w:szCs w:val="24"/>
        </w:rPr>
        <w:t>Petromyces</w:t>
      </w:r>
      <w:proofErr w:type="spellEnd"/>
      <w:r w:rsidRPr="00480E02">
        <w:rPr>
          <w:rFonts w:cs="Times New Roman"/>
          <w:i/>
          <w:szCs w:val="24"/>
        </w:rPr>
        <w:t xml:space="preserve"> spp</w:t>
      </w:r>
      <w:r w:rsidRPr="00480E02">
        <w:rPr>
          <w:rFonts w:cs="Times New Roman"/>
          <w:szCs w:val="24"/>
        </w:rPr>
        <w:t xml:space="preserve">. Significance in this group of mycotoxins are OTA, OTB, OTC, methyl ester of OTA and ethyl ester of OTB. Ochratoxin A (OTA) is the most common pollutant among these and commonly found in feed and feed ingredients; it is resistant to heat and affects protein, DNA and RNA synthesis in the body. Ochratoxin A, a potent nephrotoxin, is produced at optimum temperature and water activity of 0.98 </w:t>
      </w:r>
      <w:r w:rsidRPr="00480E02">
        <w:rPr>
          <w:rFonts w:cs="Times New Roman"/>
          <w:i/>
          <w:szCs w:val="24"/>
        </w:rPr>
        <w:t>a</w:t>
      </w:r>
      <w:r w:rsidRPr="00480E02">
        <w:rPr>
          <w:rFonts w:cs="Times New Roman"/>
          <w:szCs w:val="24"/>
          <w:vertAlign w:val="subscript"/>
        </w:rPr>
        <w:t>w</w:t>
      </w:r>
      <w:r w:rsidRPr="00480E02">
        <w:rPr>
          <w:rFonts w:cs="Times New Roman"/>
          <w:szCs w:val="24"/>
        </w:rPr>
        <w:t xml:space="preserve"> and 25 to 30°C. It contaminates various commodities such as corn, coffee, wine, dried fruits, cocoa, beans, spices, cereal grains and rice. It has been found in oats, barley, wheat and other products consumed by human and animals.</w:t>
      </w:r>
    </w:p>
    <w:p w14:paraId="7072CDE3" w14:textId="77777777" w:rsidR="00C8005A" w:rsidRPr="00480E02" w:rsidRDefault="00C8005A" w:rsidP="00C8005A">
      <w:pPr>
        <w:spacing w:line="360" w:lineRule="auto"/>
        <w:jc w:val="both"/>
        <w:rPr>
          <w:rFonts w:cs="Times New Roman"/>
          <w:szCs w:val="24"/>
        </w:rPr>
      </w:pPr>
    </w:p>
    <w:p w14:paraId="7F516ED4" w14:textId="68019A31" w:rsidR="00C8005A" w:rsidRPr="00480E02" w:rsidRDefault="00C8005A" w:rsidP="00C8005A">
      <w:pPr>
        <w:spacing w:line="360" w:lineRule="auto"/>
        <w:jc w:val="both"/>
        <w:rPr>
          <w:rFonts w:cs="Times New Roman"/>
          <w:szCs w:val="24"/>
        </w:rPr>
      </w:pPr>
      <w:r w:rsidRPr="00480E02">
        <w:rPr>
          <w:rFonts w:cs="Times New Roman"/>
          <w:szCs w:val="24"/>
        </w:rPr>
        <w:t xml:space="preserve">Ochratoxin A is also teratogenic and </w:t>
      </w:r>
      <w:proofErr w:type="spellStart"/>
      <w:r w:rsidRPr="00480E02">
        <w:rPr>
          <w:rFonts w:cs="Times New Roman"/>
          <w:szCs w:val="24"/>
        </w:rPr>
        <w:t>immunotoxic</w:t>
      </w:r>
      <w:proofErr w:type="spellEnd"/>
      <w:r w:rsidRPr="00480E02">
        <w:rPr>
          <w:rFonts w:cs="Times New Roman"/>
          <w:szCs w:val="24"/>
        </w:rPr>
        <w:t xml:space="preserve">, and has been classified as a probable human carcinogen. European Union limits for OTA differ according to food type. Limits of 5 µg/kg in unprocessed cereals and 3 µg/kg in cereal-based processed foods; 10 µg/kg in coffee, and raisins and maximum of 15 µg/kg in spices.  </w:t>
      </w:r>
    </w:p>
    <w:p w14:paraId="7215B479" w14:textId="77777777" w:rsidR="00C8005A" w:rsidRPr="00480E02" w:rsidRDefault="00C8005A" w:rsidP="00C8005A">
      <w:pPr>
        <w:pStyle w:val="Heading3"/>
        <w:spacing w:line="360" w:lineRule="auto"/>
      </w:pPr>
      <w:bookmarkStart w:id="7" w:name="_Toc530150354"/>
      <w:proofErr w:type="spellStart"/>
      <w:r w:rsidRPr="00480E02">
        <w:t>Fumonisin</w:t>
      </w:r>
      <w:bookmarkEnd w:id="7"/>
      <w:proofErr w:type="spellEnd"/>
    </w:p>
    <w:p w14:paraId="571BFDB7" w14:textId="77777777" w:rsidR="00F212A2" w:rsidRPr="00480E02" w:rsidRDefault="00C8005A" w:rsidP="00F212A2">
      <w:pPr>
        <w:spacing w:line="360" w:lineRule="auto"/>
        <w:jc w:val="both"/>
        <w:rPr>
          <w:rFonts w:cs="Times New Roman"/>
          <w:szCs w:val="24"/>
        </w:rPr>
      </w:pPr>
      <w:proofErr w:type="spellStart"/>
      <w:r w:rsidRPr="00480E02">
        <w:rPr>
          <w:rFonts w:cs="Times New Roman"/>
          <w:szCs w:val="24"/>
        </w:rPr>
        <w:t>Fumonisins</w:t>
      </w:r>
      <w:proofErr w:type="spellEnd"/>
      <w:r w:rsidRPr="00480E02">
        <w:rPr>
          <w:rFonts w:cs="Times New Roman"/>
          <w:szCs w:val="24"/>
        </w:rPr>
        <w:t xml:space="preserve"> are recently isolated mycotoxins that are nephrotoxic and hepatotoxic, known to possess high cancer-inducing properties. </w:t>
      </w:r>
      <w:proofErr w:type="spellStart"/>
      <w:r w:rsidRPr="00480E02">
        <w:rPr>
          <w:rFonts w:cs="Times New Roman"/>
          <w:szCs w:val="24"/>
        </w:rPr>
        <w:t>Fumonisins</w:t>
      </w:r>
      <w:proofErr w:type="spellEnd"/>
      <w:r w:rsidRPr="00480E02">
        <w:rPr>
          <w:rFonts w:cs="Times New Roman"/>
          <w:szCs w:val="24"/>
        </w:rPr>
        <w:t xml:space="preserve"> cause neural tube defects in experimental animal species and consumption of </w:t>
      </w:r>
      <w:proofErr w:type="spellStart"/>
      <w:r w:rsidRPr="00480E02">
        <w:rPr>
          <w:rFonts w:cs="Times New Roman"/>
          <w:szCs w:val="24"/>
        </w:rPr>
        <w:t>fumonisin</w:t>
      </w:r>
      <w:proofErr w:type="spellEnd"/>
      <w:r w:rsidRPr="00480E02">
        <w:rPr>
          <w:rFonts w:cs="Times New Roman"/>
          <w:szCs w:val="24"/>
        </w:rPr>
        <w:t>-contaminated corn grains by humans has been reportedly linked with oesophageal cancer in Transkei region of southern Africa, in China and in north-eastern Italy.</w:t>
      </w:r>
      <w:r w:rsidR="00044CCC" w:rsidRPr="00480E02">
        <w:rPr>
          <w:rFonts w:cs="Times New Roman"/>
          <w:szCs w:val="24"/>
        </w:rPr>
        <w:t xml:space="preserve"> </w:t>
      </w:r>
      <w:r w:rsidRPr="00480E02">
        <w:rPr>
          <w:rFonts w:cs="Times New Roman"/>
          <w:szCs w:val="24"/>
        </w:rPr>
        <w:t xml:space="preserve">This toxin has also been reported to be immunosuppressive and has been classified under group 2B (possibly carcinogenic to humans) according to the International Agency </w:t>
      </w:r>
      <w:r w:rsidRPr="00480E02">
        <w:rPr>
          <w:rFonts w:cs="Times New Roman"/>
          <w:szCs w:val="24"/>
        </w:rPr>
        <w:lastRenderedPageBreak/>
        <w:t>for Research on Cancer</w:t>
      </w:r>
      <w:r w:rsidR="00F212A2" w:rsidRPr="00480E02">
        <w:rPr>
          <w:rFonts w:cs="Times New Roman"/>
          <w:szCs w:val="24"/>
        </w:rPr>
        <w:t>.</w:t>
      </w:r>
      <w:r w:rsidRPr="00480E02">
        <w:rPr>
          <w:rFonts w:cs="Times New Roman"/>
          <w:szCs w:val="24"/>
        </w:rPr>
        <w:t xml:space="preserve"> </w:t>
      </w:r>
      <w:r w:rsidRPr="00480E02">
        <w:rPr>
          <w:rFonts w:cs="Times New Roman"/>
          <w:szCs w:val="24"/>
        </w:rPr>
        <w:fldChar w:fldCharType="begin"/>
      </w:r>
      <w:r w:rsidRPr="00480E02">
        <w:rPr>
          <w:rFonts w:cs="Times New Roman"/>
          <w:szCs w:val="24"/>
        </w:rPr>
        <w:instrText xml:space="preserve"> ADDIN EN.CITE &lt;EndNote&gt;&lt;Cite&gt;&lt;Author&gt;IARC&lt;/Author&gt;&lt;Year&gt;1993&lt;/Year&gt;&lt;RecNum&gt;200&lt;/RecNum&gt;&lt;DisplayText&gt;(IARC, 1993)&lt;/DisplayText&gt;&lt;record&gt;&lt;rec-number&gt;200&lt;/rec-number&gt;&lt;foreign-keys&gt;&lt;key app="EN" db-id="drvxdz2aprzew7e0tf2p2xdp0we29f5txv2f" timestamp="1494774593"&gt;200&lt;/key&gt;&lt;/foreign-keys&gt;&lt;ref-type name="Book Section"&gt;5&lt;/ref-type&gt;&lt;contributors&gt;&lt;authors&gt;&lt;author&gt;IARC,&lt;/author&gt;&lt;/authors&gt;&lt;/contributors&gt;&lt;titles&gt;&lt;title&gt;Some naturally occurring substances: food items and constituents, heterocyclic aromatic amines and mycotoxins. &amp;#xD;&lt;/title&gt;&lt;secondary-title&gt;IARC monographs on the evaluation of the carcinogenic risk of chemicals to humans&lt;/secondary-title&gt;&lt;/titles&gt;&lt;periodical&gt;&lt;full-title&gt;IARC Monographs on the Evaluation of the Carcinogenic Risk of Chemicals to Humans&lt;/full-title&gt;&lt;/periodical&gt;&lt;pages&gt;489‒521&lt;/pages&gt;&lt;volume&gt;56&lt;/volume&gt;&lt;dates&gt;&lt;year&gt;1993&lt;/year&gt;&lt;/dates&gt;&lt;publisher&gt;&amp;#xD;&lt;/publisher&gt;&lt;isbn&gt;0250-9555&lt;/isbn&gt;&lt;urls&gt;&lt;/urls&gt;&lt;/record&gt;&lt;/Cite&gt;&lt;/EndNote&gt;</w:instrText>
      </w:r>
      <w:r w:rsidRPr="00480E02">
        <w:rPr>
          <w:rFonts w:cs="Times New Roman"/>
          <w:szCs w:val="24"/>
        </w:rPr>
        <w:fldChar w:fldCharType="end"/>
      </w:r>
      <w:r w:rsidRPr="00480E02">
        <w:rPr>
          <w:rFonts w:cs="Times New Roman"/>
          <w:szCs w:val="24"/>
        </w:rPr>
        <w:t xml:space="preserve"> </w:t>
      </w:r>
      <w:proofErr w:type="spellStart"/>
      <w:r w:rsidRPr="00480E02">
        <w:rPr>
          <w:rFonts w:cs="Times New Roman"/>
          <w:szCs w:val="24"/>
        </w:rPr>
        <w:t>Fumonisins</w:t>
      </w:r>
      <w:proofErr w:type="spellEnd"/>
      <w:r w:rsidRPr="00480E02">
        <w:rPr>
          <w:rFonts w:cs="Times New Roman"/>
          <w:szCs w:val="24"/>
        </w:rPr>
        <w:t xml:space="preserve"> have been found to contaminate beer, rice, corn, figs amongst others. </w:t>
      </w:r>
      <w:r w:rsidRPr="00480E02">
        <w:rPr>
          <w:rFonts w:cs="Times New Roman"/>
          <w:i/>
          <w:szCs w:val="24"/>
        </w:rPr>
        <w:t>Fusarium</w:t>
      </w:r>
      <w:r w:rsidRPr="00480E02">
        <w:rPr>
          <w:rFonts w:cs="Times New Roman"/>
          <w:szCs w:val="24"/>
        </w:rPr>
        <w:t xml:space="preserve"> species are plant pathogens that produce </w:t>
      </w:r>
      <w:proofErr w:type="spellStart"/>
      <w:r w:rsidRPr="00480E02">
        <w:rPr>
          <w:rFonts w:cs="Times New Roman"/>
          <w:szCs w:val="24"/>
        </w:rPr>
        <w:t>fumonisins</w:t>
      </w:r>
      <w:proofErr w:type="spellEnd"/>
      <w:r w:rsidRPr="00480E02">
        <w:rPr>
          <w:rFonts w:cs="Times New Roman"/>
          <w:szCs w:val="24"/>
        </w:rPr>
        <w:t xml:space="preserve">. </w:t>
      </w:r>
      <w:r w:rsidRPr="00480E02">
        <w:rPr>
          <w:rFonts w:cs="Times New Roman"/>
          <w:i/>
          <w:szCs w:val="24"/>
        </w:rPr>
        <w:t xml:space="preserve">F. </w:t>
      </w:r>
      <w:proofErr w:type="spellStart"/>
      <w:r w:rsidRPr="00480E02">
        <w:rPr>
          <w:rFonts w:cs="Times New Roman"/>
          <w:i/>
          <w:szCs w:val="24"/>
        </w:rPr>
        <w:t>proliferatum</w:t>
      </w:r>
      <w:proofErr w:type="spellEnd"/>
      <w:r w:rsidRPr="00480E02">
        <w:rPr>
          <w:rFonts w:cs="Times New Roman"/>
          <w:szCs w:val="24"/>
        </w:rPr>
        <w:t xml:space="preserve">, </w:t>
      </w:r>
      <w:r w:rsidRPr="00480E02">
        <w:rPr>
          <w:rFonts w:cs="Times New Roman"/>
          <w:i/>
          <w:szCs w:val="24"/>
        </w:rPr>
        <w:t xml:space="preserve">F. verticillioides </w:t>
      </w:r>
      <w:r w:rsidRPr="00480E02">
        <w:rPr>
          <w:rFonts w:cs="Times New Roman"/>
          <w:szCs w:val="24"/>
        </w:rPr>
        <w:t xml:space="preserve">(previously classified as </w:t>
      </w:r>
      <w:r w:rsidRPr="00480E02">
        <w:rPr>
          <w:rFonts w:cs="Times New Roman"/>
          <w:i/>
          <w:szCs w:val="24"/>
        </w:rPr>
        <w:t xml:space="preserve">F. </w:t>
      </w:r>
      <w:proofErr w:type="spellStart"/>
      <w:r w:rsidRPr="00480E02">
        <w:rPr>
          <w:rFonts w:cs="Times New Roman"/>
          <w:i/>
          <w:szCs w:val="24"/>
        </w:rPr>
        <w:t>moniliforme</w:t>
      </w:r>
      <w:proofErr w:type="spellEnd"/>
      <w:r w:rsidRPr="00480E02">
        <w:rPr>
          <w:rFonts w:cs="Times New Roman"/>
          <w:szCs w:val="24"/>
        </w:rPr>
        <w:t>)</w:t>
      </w:r>
      <w:r w:rsidRPr="00480E02">
        <w:rPr>
          <w:rFonts w:cs="Times New Roman"/>
          <w:i/>
          <w:szCs w:val="24"/>
        </w:rPr>
        <w:t xml:space="preserve"> </w:t>
      </w:r>
      <w:r w:rsidRPr="00480E02">
        <w:rPr>
          <w:rFonts w:cs="Times New Roman"/>
          <w:szCs w:val="24"/>
        </w:rPr>
        <w:t xml:space="preserve">are the primary producers of </w:t>
      </w:r>
      <w:proofErr w:type="spellStart"/>
      <w:r w:rsidRPr="00480E02">
        <w:rPr>
          <w:rFonts w:cs="Times New Roman"/>
          <w:szCs w:val="24"/>
        </w:rPr>
        <w:t>fumonisins</w:t>
      </w:r>
      <w:proofErr w:type="spellEnd"/>
      <w:r w:rsidRPr="00480E02">
        <w:rPr>
          <w:rFonts w:cs="Times New Roman"/>
          <w:szCs w:val="24"/>
        </w:rPr>
        <w:t xml:space="preserve">; as well as </w:t>
      </w:r>
      <w:r w:rsidRPr="00480E02">
        <w:rPr>
          <w:rFonts w:cs="Times New Roman"/>
          <w:i/>
          <w:szCs w:val="24"/>
        </w:rPr>
        <w:t xml:space="preserve">F. </w:t>
      </w:r>
      <w:proofErr w:type="spellStart"/>
      <w:r w:rsidRPr="00480E02">
        <w:rPr>
          <w:rFonts w:cs="Times New Roman"/>
          <w:i/>
          <w:szCs w:val="24"/>
        </w:rPr>
        <w:t>nygamai</w:t>
      </w:r>
      <w:proofErr w:type="spellEnd"/>
      <w:r w:rsidRPr="00480E02">
        <w:rPr>
          <w:rFonts w:cs="Times New Roman"/>
          <w:szCs w:val="24"/>
        </w:rPr>
        <w:t xml:space="preserve">. Other producers are </w:t>
      </w:r>
      <w:r w:rsidRPr="00480E02">
        <w:rPr>
          <w:rFonts w:cs="Times New Roman"/>
          <w:i/>
          <w:szCs w:val="24"/>
        </w:rPr>
        <w:t xml:space="preserve">F. </w:t>
      </w:r>
      <w:proofErr w:type="spellStart"/>
      <w:r w:rsidRPr="00480E02">
        <w:rPr>
          <w:rFonts w:cs="Times New Roman"/>
          <w:i/>
          <w:szCs w:val="24"/>
        </w:rPr>
        <w:t>polyphialidicum</w:t>
      </w:r>
      <w:proofErr w:type="spellEnd"/>
      <w:r w:rsidRPr="00480E02">
        <w:rPr>
          <w:rFonts w:cs="Times New Roman"/>
          <w:szCs w:val="24"/>
        </w:rPr>
        <w:t xml:space="preserve">, </w:t>
      </w:r>
      <w:r w:rsidRPr="00480E02">
        <w:rPr>
          <w:rFonts w:cs="Times New Roman"/>
          <w:i/>
          <w:szCs w:val="24"/>
        </w:rPr>
        <w:t xml:space="preserve">F. </w:t>
      </w:r>
      <w:proofErr w:type="spellStart"/>
      <w:r w:rsidRPr="00480E02">
        <w:rPr>
          <w:rFonts w:cs="Times New Roman"/>
          <w:i/>
          <w:szCs w:val="24"/>
        </w:rPr>
        <w:t>anthophilum</w:t>
      </w:r>
      <w:proofErr w:type="spellEnd"/>
      <w:r w:rsidRPr="00480E02">
        <w:rPr>
          <w:rFonts w:cs="Times New Roman"/>
          <w:szCs w:val="24"/>
        </w:rPr>
        <w:t xml:space="preserve">, </w:t>
      </w:r>
      <w:r w:rsidRPr="00480E02">
        <w:rPr>
          <w:rFonts w:cs="Times New Roman"/>
          <w:i/>
          <w:szCs w:val="24"/>
        </w:rPr>
        <w:t xml:space="preserve">F. </w:t>
      </w:r>
      <w:proofErr w:type="spellStart"/>
      <w:r w:rsidRPr="00480E02">
        <w:rPr>
          <w:rFonts w:cs="Times New Roman"/>
          <w:i/>
          <w:szCs w:val="24"/>
        </w:rPr>
        <w:t>dlamini</w:t>
      </w:r>
      <w:proofErr w:type="spellEnd"/>
      <w:r w:rsidRPr="00480E02">
        <w:rPr>
          <w:rFonts w:cs="Times New Roman"/>
          <w:szCs w:val="24"/>
        </w:rPr>
        <w:t xml:space="preserve">, </w:t>
      </w:r>
      <w:r w:rsidRPr="00480E02">
        <w:rPr>
          <w:rFonts w:cs="Times New Roman"/>
          <w:i/>
          <w:szCs w:val="24"/>
        </w:rPr>
        <w:t xml:space="preserve">F. </w:t>
      </w:r>
      <w:proofErr w:type="spellStart"/>
      <w:r w:rsidRPr="00480E02">
        <w:rPr>
          <w:rFonts w:cs="Times New Roman"/>
          <w:i/>
          <w:szCs w:val="24"/>
        </w:rPr>
        <w:t>napiforme</w:t>
      </w:r>
      <w:proofErr w:type="spellEnd"/>
      <w:r w:rsidRPr="00480E02">
        <w:rPr>
          <w:rFonts w:cs="Times New Roman"/>
          <w:szCs w:val="24"/>
        </w:rPr>
        <w:t xml:space="preserve">, </w:t>
      </w:r>
      <w:r w:rsidRPr="00480E02">
        <w:rPr>
          <w:rFonts w:cs="Times New Roman"/>
          <w:i/>
          <w:szCs w:val="24"/>
        </w:rPr>
        <w:t xml:space="preserve">F. </w:t>
      </w:r>
      <w:proofErr w:type="spellStart"/>
      <w:r w:rsidRPr="00480E02">
        <w:rPr>
          <w:rFonts w:cs="Times New Roman"/>
          <w:i/>
          <w:szCs w:val="24"/>
        </w:rPr>
        <w:t>subglutinans</w:t>
      </w:r>
      <w:proofErr w:type="spellEnd"/>
      <w:r w:rsidRPr="00480E02">
        <w:rPr>
          <w:rFonts w:cs="Times New Roman"/>
          <w:szCs w:val="24"/>
        </w:rPr>
        <w:t xml:space="preserve"> and </w:t>
      </w:r>
      <w:r w:rsidRPr="00480E02">
        <w:rPr>
          <w:rFonts w:cs="Times New Roman"/>
          <w:i/>
          <w:szCs w:val="24"/>
        </w:rPr>
        <w:t xml:space="preserve">F. </w:t>
      </w:r>
      <w:proofErr w:type="spellStart"/>
      <w:r w:rsidRPr="00480E02">
        <w:rPr>
          <w:rFonts w:cs="Times New Roman"/>
          <w:i/>
          <w:szCs w:val="24"/>
        </w:rPr>
        <w:t>oxysporum</w:t>
      </w:r>
      <w:proofErr w:type="spellEnd"/>
      <w:r w:rsidRPr="00480E02">
        <w:rPr>
          <w:rFonts w:cs="Times New Roman"/>
          <w:szCs w:val="24"/>
        </w:rPr>
        <w:t xml:space="preserve">. </w:t>
      </w:r>
      <w:r w:rsidRPr="00480E02">
        <w:rPr>
          <w:rFonts w:cs="Times New Roman"/>
          <w:i/>
          <w:szCs w:val="24"/>
        </w:rPr>
        <w:t xml:space="preserve">A. </w:t>
      </w:r>
      <w:proofErr w:type="spellStart"/>
      <w:r w:rsidRPr="00480E02">
        <w:rPr>
          <w:rFonts w:cs="Times New Roman"/>
          <w:i/>
          <w:szCs w:val="24"/>
        </w:rPr>
        <w:t>niger</w:t>
      </w:r>
      <w:proofErr w:type="spellEnd"/>
      <w:r w:rsidRPr="00480E02">
        <w:rPr>
          <w:rFonts w:cs="Times New Roman"/>
          <w:szCs w:val="24"/>
        </w:rPr>
        <w:t xml:space="preserve"> also produce </w:t>
      </w:r>
      <w:proofErr w:type="spellStart"/>
      <w:r w:rsidRPr="00480E02">
        <w:rPr>
          <w:rFonts w:cs="Times New Roman"/>
          <w:szCs w:val="24"/>
        </w:rPr>
        <w:t>fumonisins</w:t>
      </w:r>
      <w:proofErr w:type="spellEnd"/>
      <w:r w:rsidRPr="00480E02">
        <w:rPr>
          <w:rFonts w:cs="Times New Roman"/>
          <w:szCs w:val="24"/>
        </w:rPr>
        <w:t>, especially FB</w:t>
      </w:r>
      <w:r w:rsidRPr="00480E02">
        <w:rPr>
          <w:rFonts w:cs="Times New Roman"/>
          <w:szCs w:val="24"/>
          <w:vertAlign w:val="subscript"/>
        </w:rPr>
        <w:t>2</w:t>
      </w:r>
      <w:r w:rsidRPr="00480E02">
        <w:rPr>
          <w:rFonts w:cs="Times New Roman"/>
          <w:szCs w:val="24"/>
        </w:rPr>
        <w:t xml:space="preserve">. </w:t>
      </w:r>
      <w:bookmarkStart w:id="8" w:name="_Toc530150355"/>
    </w:p>
    <w:p w14:paraId="4902FEDE" w14:textId="77777777" w:rsidR="00F212A2" w:rsidRPr="00480E02" w:rsidRDefault="00F212A2" w:rsidP="00F212A2">
      <w:pPr>
        <w:spacing w:line="360" w:lineRule="auto"/>
        <w:jc w:val="both"/>
      </w:pPr>
    </w:p>
    <w:p w14:paraId="65E35D16" w14:textId="67E14AE4" w:rsidR="00C8005A" w:rsidRPr="00480E02" w:rsidRDefault="00C8005A" w:rsidP="00F212A2">
      <w:pPr>
        <w:spacing w:line="360" w:lineRule="auto"/>
        <w:jc w:val="both"/>
        <w:rPr>
          <w:b/>
        </w:rPr>
      </w:pPr>
      <w:r w:rsidRPr="00480E02">
        <w:rPr>
          <w:b/>
        </w:rPr>
        <w:t>Zearalenone</w:t>
      </w:r>
      <w:bookmarkEnd w:id="8"/>
    </w:p>
    <w:p w14:paraId="5E77090E" w14:textId="768EF57F" w:rsidR="00C8005A" w:rsidRPr="00480E02" w:rsidRDefault="00C8005A" w:rsidP="00C8005A">
      <w:pPr>
        <w:spacing w:line="360" w:lineRule="auto"/>
        <w:jc w:val="both"/>
        <w:rPr>
          <w:rFonts w:cs="Times New Roman"/>
          <w:szCs w:val="24"/>
        </w:rPr>
      </w:pPr>
      <w:r w:rsidRPr="00480E02">
        <w:rPr>
          <w:rFonts w:cs="Times New Roman"/>
          <w:i/>
          <w:szCs w:val="24"/>
        </w:rPr>
        <w:t>Fusarium</w:t>
      </w:r>
      <w:r w:rsidRPr="00480E02">
        <w:rPr>
          <w:rFonts w:cs="Times New Roman"/>
          <w:szCs w:val="24"/>
        </w:rPr>
        <w:t xml:space="preserve"> species, especially </w:t>
      </w:r>
      <w:r w:rsidRPr="00480E02">
        <w:rPr>
          <w:rFonts w:cs="Times New Roman"/>
          <w:i/>
          <w:szCs w:val="24"/>
        </w:rPr>
        <w:t xml:space="preserve">F. </w:t>
      </w:r>
      <w:proofErr w:type="spellStart"/>
      <w:r w:rsidRPr="00480E02">
        <w:rPr>
          <w:rFonts w:cs="Times New Roman"/>
          <w:i/>
          <w:szCs w:val="24"/>
        </w:rPr>
        <w:t>graminearum</w:t>
      </w:r>
      <w:proofErr w:type="spellEnd"/>
      <w:r w:rsidRPr="00480E02">
        <w:rPr>
          <w:rFonts w:cs="Times New Roman"/>
          <w:szCs w:val="24"/>
        </w:rPr>
        <w:t xml:space="preserve"> and </w:t>
      </w:r>
      <w:r w:rsidRPr="00480E02">
        <w:rPr>
          <w:rFonts w:cs="Times New Roman"/>
          <w:i/>
          <w:szCs w:val="24"/>
        </w:rPr>
        <w:t xml:space="preserve">F. </w:t>
      </w:r>
      <w:proofErr w:type="spellStart"/>
      <w:r w:rsidRPr="00480E02">
        <w:rPr>
          <w:rFonts w:cs="Times New Roman"/>
          <w:i/>
          <w:szCs w:val="24"/>
        </w:rPr>
        <w:t>culmorum</w:t>
      </w:r>
      <w:proofErr w:type="spellEnd"/>
      <w:r w:rsidRPr="00480E02">
        <w:rPr>
          <w:rFonts w:cs="Times New Roman"/>
          <w:szCs w:val="24"/>
        </w:rPr>
        <w:t xml:space="preserve"> produce </w:t>
      </w:r>
      <w:proofErr w:type="spellStart"/>
      <w:r w:rsidRPr="00480E02">
        <w:rPr>
          <w:rFonts w:cs="Times New Roman"/>
          <w:szCs w:val="24"/>
        </w:rPr>
        <w:t>zearalenone</w:t>
      </w:r>
      <w:proofErr w:type="spellEnd"/>
      <w:r w:rsidRPr="00480E02">
        <w:rPr>
          <w:rFonts w:cs="Times New Roman"/>
          <w:szCs w:val="24"/>
        </w:rPr>
        <w:t xml:space="preserve"> (ZEN) as a secondary metabolite. Zearalenone has worldwide contamination</w:t>
      </w:r>
      <w:r w:rsidRPr="00480E02">
        <w:rPr>
          <w:rFonts w:cs="Times New Roman"/>
          <w:b/>
          <w:szCs w:val="24"/>
        </w:rPr>
        <w:t xml:space="preserve"> </w:t>
      </w:r>
      <w:r w:rsidRPr="00480E02">
        <w:rPr>
          <w:rFonts w:cs="Times New Roman"/>
          <w:szCs w:val="24"/>
        </w:rPr>
        <w:t xml:space="preserve">record for various cereals and animal feed. It is hepatotoxic, </w:t>
      </w:r>
      <w:proofErr w:type="spellStart"/>
      <w:r w:rsidRPr="00480E02">
        <w:rPr>
          <w:rFonts w:cs="Times New Roman"/>
          <w:szCs w:val="24"/>
        </w:rPr>
        <w:t>hematotoxic</w:t>
      </w:r>
      <w:proofErr w:type="spellEnd"/>
      <w:r w:rsidRPr="00480E02">
        <w:rPr>
          <w:rFonts w:cs="Times New Roman"/>
          <w:szCs w:val="24"/>
        </w:rPr>
        <w:t xml:space="preserve">, genotoxic and </w:t>
      </w:r>
      <w:proofErr w:type="spellStart"/>
      <w:r w:rsidRPr="00480E02">
        <w:rPr>
          <w:rFonts w:cs="Times New Roman"/>
          <w:szCs w:val="24"/>
        </w:rPr>
        <w:t>immunotoxic</w:t>
      </w:r>
      <w:proofErr w:type="spellEnd"/>
      <w:r w:rsidRPr="00480E02">
        <w:rPr>
          <w:rFonts w:cs="Times New Roman"/>
          <w:szCs w:val="24"/>
        </w:rPr>
        <w:t xml:space="preserve">. Also referred to as </w:t>
      </w:r>
      <w:proofErr w:type="spellStart"/>
      <w:r w:rsidRPr="00480E02">
        <w:rPr>
          <w:rFonts w:cs="Times New Roman"/>
          <w:szCs w:val="24"/>
        </w:rPr>
        <w:t>mycoestrogen</w:t>
      </w:r>
      <w:proofErr w:type="spellEnd"/>
      <w:r w:rsidRPr="00480E02">
        <w:rPr>
          <w:rFonts w:cs="Times New Roman"/>
          <w:szCs w:val="24"/>
        </w:rPr>
        <w:t xml:space="preserve">, it has ability to bind to </w:t>
      </w:r>
      <w:proofErr w:type="spellStart"/>
      <w:r w:rsidRPr="00480E02">
        <w:rPr>
          <w:rFonts w:cs="Times New Roman"/>
          <w:szCs w:val="24"/>
        </w:rPr>
        <w:t>estrogen</w:t>
      </w:r>
      <w:proofErr w:type="spellEnd"/>
      <w:r w:rsidRPr="00480E02">
        <w:rPr>
          <w:rFonts w:cs="Times New Roman"/>
          <w:szCs w:val="24"/>
        </w:rPr>
        <w:t xml:space="preserve"> receptors and significantly affect the reproductive system and may cause ovarian dysfunction, increase in abnormal spermatozoa, infertility, and other severe reproductive disorders. It is linked to early onset of puberty in young children and is a potential stimulator of human breast tumorigenesis. In swine, zearalenone may lead to vaginal and/or rectal prolapse, vulvovaginitis, swelling of vulva and mammary glands, disrupted conception, abortion and infertility. </w:t>
      </w:r>
    </w:p>
    <w:p w14:paraId="17A345CA" w14:textId="77777777" w:rsidR="00C8005A" w:rsidRPr="00480E02" w:rsidRDefault="00C8005A" w:rsidP="00C8005A">
      <w:pPr>
        <w:pStyle w:val="Heading3"/>
        <w:spacing w:line="360" w:lineRule="auto"/>
      </w:pPr>
      <w:r w:rsidRPr="00480E02">
        <w:t xml:space="preserve"> </w:t>
      </w:r>
      <w:bookmarkStart w:id="9" w:name="_Toc530150356"/>
      <w:r w:rsidRPr="00480E02">
        <w:t>Deoxynivalenol</w:t>
      </w:r>
      <w:bookmarkEnd w:id="9"/>
    </w:p>
    <w:p w14:paraId="6DB918D7" w14:textId="72625726" w:rsidR="00C8005A" w:rsidRPr="00480E02" w:rsidRDefault="00C8005A" w:rsidP="00C8005A">
      <w:pPr>
        <w:spacing w:line="360" w:lineRule="auto"/>
        <w:jc w:val="both"/>
        <w:rPr>
          <w:rFonts w:cs="Times New Roman"/>
          <w:szCs w:val="24"/>
        </w:rPr>
      </w:pPr>
      <w:r w:rsidRPr="00480E02">
        <w:rPr>
          <w:rFonts w:cs="Times New Roman"/>
          <w:szCs w:val="24"/>
        </w:rPr>
        <w:t xml:space="preserve">Deoxynivalenol (DON) is one of the most frequently detected </w:t>
      </w:r>
      <w:proofErr w:type="spellStart"/>
      <w:r w:rsidRPr="00480E02">
        <w:rPr>
          <w:rFonts w:cs="Times New Roman"/>
          <w:szCs w:val="24"/>
        </w:rPr>
        <w:t>tricothecenes</w:t>
      </w:r>
      <w:proofErr w:type="spellEnd"/>
      <w:r w:rsidRPr="00480E02">
        <w:rPr>
          <w:rFonts w:cs="Times New Roman"/>
          <w:szCs w:val="24"/>
        </w:rPr>
        <w:t xml:space="preserve"> contaminants in grains, more common in seeds of safflower, rye, barley and wheat. It is produced majorly by </w:t>
      </w:r>
      <w:r w:rsidRPr="00480E02">
        <w:rPr>
          <w:rFonts w:cs="Times New Roman"/>
          <w:i/>
          <w:szCs w:val="24"/>
        </w:rPr>
        <w:t xml:space="preserve">F. </w:t>
      </w:r>
      <w:proofErr w:type="spellStart"/>
      <w:r w:rsidRPr="00480E02">
        <w:rPr>
          <w:rFonts w:cs="Times New Roman"/>
          <w:i/>
          <w:szCs w:val="24"/>
        </w:rPr>
        <w:t>graminearum</w:t>
      </w:r>
      <w:proofErr w:type="spellEnd"/>
      <w:r w:rsidRPr="00480E02">
        <w:rPr>
          <w:rFonts w:cs="Times New Roman"/>
          <w:szCs w:val="24"/>
        </w:rPr>
        <w:t xml:space="preserve"> and inhibits the synthesis of RNA, DNA, and protein. In experimental animals, it causes genotoxicity, cytotoxicity, teratogenicity, and induction of foetal skeletal deformities. It is also associated with diarrhoea, nausea, headache, dizziness, gastroenteritis, and ataxia in animals and humans. Vomiting arise from consumption of DON-contaminated food but may become lethal at exceedingly higher concentrations.</w:t>
      </w:r>
    </w:p>
    <w:p w14:paraId="70FAF4BA" w14:textId="77777777" w:rsidR="00C8005A" w:rsidRPr="00480E02" w:rsidRDefault="00C8005A" w:rsidP="00C8005A">
      <w:pPr>
        <w:spacing w:line="360" w:lineRule="auto"/>
        <w:jc w:val="both"/>
        <w:rPr>
          <w:rFonts w:cs="Times New Roman"/>
          <w:szCs w:val="24"/>
        </w:rPr>
      </w:pPr>
    </w:p>
    <w:p w14:paraId="668B70E3" w14:textId="01A9B378" w:rsidR="00C8005A" w:rsidRPr="00480E02" w:rsidRDefault="00C8005A" w:rsidP="00C8005A">
      <w:pPr>
        <w:spacing w:line="360" w:lineRule="auto"/>
        <w:jc w:val="both"/>
        <w:rPr>
          <w:rFonts w:cs="Times New Roman"/>
          <w:szCs w:val="24"/>
        </w:rPr>
      </w:pPr>
      <w:r w:rsidRPr="00480E02">
        <w:rPr>
          <w:rFonts w:cs="Times New Roman"/>
          <w:szCs w:val="24"/>
        </w:rPr>
        <w:t xml:space="preserve">Ingestion of DON-contaminated foods by animals at higher doses causes vomiting, diarrhoea and feed refusal leading to severe weight loss, damage to the hematopoietic system and immune dysregulation. At small doses, in pigs and other animals, its ingestion cause nausea, gastrointestinal tract lesions, decreased nutritional efficiency and weight loss, and the refusal to eat. Hence it is known as vomitoxin or feed refusal factor. Deoxynivalenol is very heat stable, although its concentration can be reduced by boiling in water. </w:t>
      </w:r>
    </w:p>
    <w:p w14:paraId="0E76B545" w14:textId="77777777" w:rsidR="00C8005A" w:rsidRPr="00480E02" w:rsidRDefault="00C8005A" w:rsidP="00C8005A">
      <w:pPr>
        <w:pStyle w:val="Heading3"/>
        <w:spacing w:line="360" w:lineRule="auto"/>
      </w:pPr>
      <w:bookmarkStart w:id="10" w:name="_Toc530150357"/>
      <w:r w:rsidRPr="00480E02">
        <w:lastRenderedPageBreak/>
        <w:t>Patulin</w:t>
      </w:r>
      <w:bookmarkEnd w:id="10"/>
    </w:p>
    <w:p w14:paraId="28E26B52" w14:textId="0729B46D" w:rsidR="003E1B7C" w:rsidRPr="00480E02" w:rsidRDefault="00C8005A" w:rsidP="00C8005A">
      <w:pPr>
        <w:spacing w:line="360" w:lineRule="auto"/>
        <w:jc w:val="both"/>
        <w:rPr>
          <w:rFonts w:cs="Times New Roman"/>
          <w:szCs w:val="24"/>
        </w:rPr>
      </w:pPr>
      <w:r w:rsidRPr="00480E02">
        <w:rPr>
          <w:rFonts w:cs="Times New Roman"/>
          <w:szCs w:val="24"/>
        </w:rPr>
        <w:t xml:space="preserve">Patulin, otherwise known as </w:t>
      </w:r>
      <w:proofErr w:type="spellStart"/>
      <w:r w:rsidRPr="00480E02">
        <w:rPr>
          <w:rFonts w:cs="Times New Roman"/>
          <w:szCs w:val="24"/>
        </w:rPr>
        <w:t>clavacin</w:t>
      </w:r>
      <w:proofErr w:type="spellEnd"/>
      <w:r w:rsidRPr="00480E02">
        <w:rPr>
          <w:rFonts w:cs="Times New Roman"/>
          <w:szCs w:val="24"/>
        </w:rPr>
        <w:t xml:space="preserve">, </w:t>
      </w:r>
      <w:proofErr w:type="spellStart"/>
      <w:r w:rsidRPr="00480E02">
        <w:rPr>
          <w:rFonts w:cs="Times New Roman"/>
          <w:szCs w:val="24"/>
        </w:rPr>
        <w:t>claviformin</w:t>
      </w:r>
      <w:proofErr w:type="spellEnd"/>
      <w:r w:rsidRPr="00480E02">
        <w:rPr>
          <w:rFonts w:cs="Times New Roman"/>
          <w:szCs w:val="24"/>
        </w:rPr>
        <w:t xml:space="preserve">, </w:t>
      </w:r>
      <w:proofErr w:type="spellStart"/>
      <w:r w:rsidRPr="00480E02">
        <w:rPr>
          <w:rFonts w:cs="Times New Roman"/>
          <w:szCs w:val="24"/>
        </w:rPr>
        <w:t>expansin</w:t>
      </w:r>
      <w:proofErr w:type="spellEnd"/>
      <w:r w:rsidRPr="00480E02">
        <w:rPr>
          <w:rFonts w:cs="Times New Roman"/>
          <w:szCs w:val="24"/>
        </w:rPr>
        <w:t xml:space="preserve">, </w:t>
      </w:r>
      <w:proofErr w:type="spellStart"/>
      <w:r w:rsidRPr="00480E02">
        <w:rPr>
          <w:rFonts w:cs="Times New Roman"/>
          <w:szCs w:val="24"/>
        </w:rPr>
        <w:t>micoine</w:t>
      </w:r>
      <w:proofErr w:type="spellEnd"/>
      <w:r w:rsidRPr="00480E02">
        <w:rPr>
          <w:rFonts w:cs="Times New Roman"/>
          <w:szCs w:val="24"/>
        </w:rPr>
        <w:t xml:space="preserve"> C and </w:t>
      </w:r>
      <w:proofErr w:type="spellStart"/>
      <w:r w:rsidRPr="00480E02">
        <w:rPr>
          <w:rFonts w:cs="Times New Roman"/>
          <w:szCs w:val="24"/>
        </w:rPr>
        <w:t>penicidin</w:t>
      </w:r>
      <w:proofErr w:type="spellEnd"/>
      <w:r w:rsidRPr="00480E02">
        <w:rPr>
          <w:rFonts w:cs="Times New Roman"/>
          <w:szCs w:val="24"/>
        </w:rPr>
        <w:t xml:space="preserve">, was first isolated as an antimicrobial compound from </w:t>
      </w:r>
      <w:r w:rsidRPr="00480E02">
        <w:rPr>
          <w:rFonts w:cs="Times New Roman"/>
          <w:i/>
          <w:szCs w:val="24"/>
        </w:rPr>
        <w:t xml:space="preserve">P. </w:t>
      </w:r>
      <w:proofErr w:type="spellStart"/>
      <w:r w:rsidRPr="00480E02">
        <w:rPr>
          <w:rFonts w:cs="Times New Roman"/>
          <w:i/>
          <w:szCs w:val="24"/>
        </w:rPr>
        <w:t>patulum</w:t>
      </w:r>
      <w:proofErr w:type="spellEnd"/>
      <w:r w:rsidRPr="00480E02">
        <w:rPr>
          <w:rFonts w:cs="Times New Roman"/>
          <w:szCs w:val="24"/>
        </w:rPr>
        <w:t xml:space="preserve"> now known as </w:t>
      </w:r>
      <w:r w:rsidRPr="00480E02">
        <w:rPr>
          <w:rFonts w:cs="Times New Roman"/>
          <w:i/>
          <w:szCs w:val="24"/>
        </w:rPr>
        <w:t xml:space="preserve">P. </w:t>
      </w:r>
      <w:proofErr w:type="spellStart"/>
      <w:r w:rsidRPr="00480E02">
        <w:rPr>
          <w:rFonts w:cs="Times New Roman"/>
          <w:i/>
          <w:szCs w:val="24"/>
        </w:rPr>
        <w:t>griseofulvum</w:t>
      </w:r>
      <w:proofErr w:type="spellEnd"/>
      <w:r w:rsidRPr="00480E02">
        <w:rPr>
          <w:rFonts w:cs="Times New Roman"/>
          <w:szCs w:val="24"/>
        </w:rPr>
        <w:t xml:space="preserve">. It is also produced by </w:t>
      </w:r>
      <w:r w:rsidRPr="00480E02">
        <w:rPr>
          <w:rFonts w:cs="Times New Roman"/>
          <w:i/>
          <w:szCs w:val="24"/>
        </w:rPr>
        <w:t xml:space="preserve">A. </w:t>
      </w:r>
      <w:proofErr w:type="spellStart"/>
      <w:r w:rsidRPr="00480E02">
        <w:rPr>
          <w:rFonts w:cs="Times New Roman"/>
          <w:i/>
          <w:szCs w:val="24"/>
        </w:rPr>
        <w:t>clavatus</w:t>
      </w:r>
      <w:proofErr w:type="spellEnd"/>
      <w:r w:rsidRPr="00480E02">
        <w:rPr>
          <w:rFonts w:cs="Times New Roman"/>
          <w:szCs w:val="24"/>
        </w:rPr>
        <w:t xml:space="preserve">, </w:t>
      </w:r>
      <w:r w:rsidRPr="00480E02">
        <w:rPr>
          <w:rFonts w:cs="Times New Roman"/>
          <w:i/>
          <w:szCs w:val="24"/>
        </w:rPr>
        <w:t xml:space="preserve">A. </w:t>
      </w:r>
      <w:proofErr w:type="spellStart"/>
      <w:r w:rsidRPr="00480E02">
        <w:rPr>
          <w:rFonts w:cs="Times New Roman"/>
          <w:i/>
          <w:szCs w:val="24"/>
        </w:rPr>
        <w:t>giganteus</w:t>
      </w:r>
      <w:proofErr w:type="spellEnd"/>
      <w:r w:rsidRPr="00480E02">
        <w:rPr>
          <w:rFonts w:cs="Times New Roman"/>
          <w:szCs w:val="24"/>
        </w:rPr>
        <w:t xml:space="preserve"> and </w:t>
      </w:r>
      <w:r w:rsidRPr="00480E02">
        <w:rPr>
          <w:rFonts w:cs="Times New Roman"/>
          <w:i/>
          <w:szCs w:val="24"/>
        </w:rPr>
        <w:t xml:space="preserve">A. </w:t>
      </w:r>
      <w:proofErr w:type="spellStart"/>
      <w:r w:rsidRPr="00480E02">
        <w:rPr>
          <w:rFonts w:cs="Times New Roman"/>
          <w:i/>
          <w:szCs w:val="24"/>
        </w:rPr>
        <w:t>terreus</w:t>
      </w:r>
      <w:proofErr w:type="spellEnd"/>
      <w:r w:rsidRPr="00480E02">
        <w:rPr>
          <w:rFonts w:cs="Times New Roman"/>
          <w:szCs w:val="24"/>
        </w:rPr>
        <w:t xml:space="preserve">. Initially used as a nose and throat spray to treat common cold and ointment to treat skin infections, its toxicity to animals and plants was discovered during the 1960s which led to its re-classification as a true mycotoxin. </w:t>
      </w:r>
      <w:r w:rsidRPr="00480E02">
        <w:rPr>
          <w:rFonts w:cs="Times New Roman"/>
          <w:i/>
          <w:szCs w:val="24"/>
        </w:rPr>
        <w:t xml:space="preserve">P. </w:t>
      </w:r>
      <w:proofErr w:type="spellStart"/>
      <w:r w:rsidRPr="00480E02">
        <w:rPr>
          <w:rFonts w:cs="Times New Roman"/>
          <w:i/>
          <w:szCs w:val="24"/>
        </w:rPr>
        <w:t>expansum</w:t>
      </w:r>
      <w:proofErr w:type="spellEnd"/>
      <w:r w:rsidRPr="00480E02">
        <w:rPr>
          <w:rFonts w:cs="Times New Roman"/>
          <w:szCs w:val="24"/>
        </w:rPr>
        <w:t xml:space="preserve">, a natural and most efficient producer of patulin is the causative agent of ‘blue </w:t>
      </w:r>
      <w:proofErr w:type="spellStart"/>
      <w:r w:rsidRPr="00480E02">
        <w:rPr>
          <w:rFonts w:cs="Times New Roman"/>
          <w:szCs w:val="24"/>
        </w:rPr>
        <w:t>mold</w:t>
      </w:r>
      <w:proofErr w:type="spellEnd"/>
      <w:r w:rsidRPr="00480E02">
        <w:rPr>
          <w:rFonts w:cs="Times New Roman"/>
          <w:szCs w:val="24"/>
        </w:rPr>
        <w:t xml:space="preserve">’ in apple, pear, cherry, and other fruits. Although commonly found in non-fermented apple juice, it is efficiently metabolized by yeasts during fermentation. </w:t>
      </w:r>
    </w:p>
    <w:p w14:paraId="0A7861EB" w14:textId="77777777" w:rsidR="003E1B7C" w:rsidRPr="00480E02" w:rsidRDefault="003E1B7C" w:rsidP="003E1B7C">
      <w:pPr>
        <w:spacing w:line="360" w:lineRule="auto"/>
        <w:jc w:val="both"/>
        <w:rPr>
          <w:rFonts w:cs="Times New Roman"/>
          <w:b/>
          <w:szCs w:val="24"/>
        </w:rPr>
      </w:pPr>
    </w:p>
    <w:p w14:paraId="475129CB" w14:textId="77777777" w:rsidR="003E1B7C" w:rsidRPr="00480E02" w:rsidRDefault="003E1B7C" w:rsidP="003E1B7C">
      <w:pPr>
        <w:pStyle w:val="Heading2"/>
        <w:spacing w:line="360" w:lineRule="auto"/>
      </w:pPr>
      <w:bookmarkStart w:id="11" w:name="_Toc530150364"/>
      <w:r w:rsidRPr="00480E02">
        <w:t>Management and control of mycotoxins in food commodities</w:t>
      </w:r>
      <w:bookmarkEnd w:id="11"/>
    </w:p>
    <w:p w14:paraId="79A77A46" w14:textId="77777777" w:rsidR="00274F72" w:rsidRPr="00480E02" w:rsidRDefault="003E1B7C" w:rsidP="003E1B7C">
      <w:pPr>
        <w:spacing w:line="360" w:lineRule="auto"/>
        <w:jc w:val="both"/>
        <w:rPr>
          <w:rFonts w:cs="Times New Roman"/>
          <w:szCs w:val="24"/>
        </w:rPr>
      </w:pPr>
      <w:r w:rsidRPr="00480E02">
        <w:rPr>
          <w:rFonts w:cs="Times New Roman"/>
          <w:szCs w:val="24"/>
        </w:rPr>
        <w:t xml:space="preserve">In the control or prevention of mycotoxins in food commodities, the fungal strain and food commodity determine the effectiveness of any method. Preventive measures at pre-harvest include </w:t>
      </w:r>
      <w:r w:rsidR="00274F72" w:rsidRPr="00480E02">
        <w:rPr>
          <w:rFonts w:cs="Times New Roman"/>
          <w:szCs w:val="24"/>
        </w:rPr>
        <w:t xml:space="preserve">1. </w:t>
      </w:r>
      <w:r w:rsidRPr="00480E02">
        <w:rPr>
          <w:rFonts w:cs="Times New Roman"/>
          <w:szCs w:val="24"/>
        </w:rPr>
        <w:t xml:space="preserve">the use of </w:t>
      </w:r>
      <w:proofErr w:type="spellStart"/>
      <w:r w:rsidRPr="00480E02">
        <w:rPr>
          <w:rFonts w:cs="Times New Roman"/>
          <w:szCs w:val="24"/>
        </w:rPr>
        <w:t>mold</w:t>
      </w:r>
      <w:proofErr w:type="spellEnd"/>
      <w:r w:rsidRPr="00480E02">
        <w:rPr>
          <w:rFonts w:cs="Times New Roman"/>
          <w:szCs w:val="24"/>
        </w:rPr>
        <w:t xml:space="preserve">-resistant varieties such as transgenic plants, which possess antifungal or anti-mycotoxin compounds. </w:t>
      </w:r>
    </w:p>
    <w:p w14:paraId="26D21AC0" w14:textId="77777777" w:rsidR="00274F72" w:rsidRPr="00480E02" w:rsidRDefault="00274F72" w:rsidP="003E1B7C">
      <w:pPr>
        <w:spacing w:line="360" w:lineRule="auto"/>
        <w:jc w:val="both"/>
        <w:rPr>
          <w:rFonts w:cs="Times New Roman"/>
          <w:szCs w:val="24"/>
        </w:rPr>
      </w:pPr>
      <w:r w:rsidRPr="00480E02">
        <w:rPr>
          <w:rFonts w:cs="Times New Roman"/>
          <w:szCs w:val="24"/>
        </w:rPr>
        <w:t xml:space="preserve">2. </w:t>
      </w:r>
      <w:r w:rsidR="003E1B7C" w:rsidRPr="00480E02">
        <w:rPr>
          <w:rFonts w:cs="Times New Roman"/>
          <w:szCs w:val="24"/>
        </w:rPr>
        <w:t xml:space="preserve">Proper agronomic practices can also prevent mycotoxin contamination. These include crop rotation, avoiding overcrowding of plants, monitoring of soil pH and mineral deficiency, avoiding planting crops at periods of high temperature and water stress, and use of harvesting techniques that will minimize mechanical damage to grains. </w:t>
      </w:r>
    </w:p>
    <w:p w14:paraId="6A05CC68" w14:textId="3B6B96DD" w:rsidR="003E1B7C" w:rsidRPr="00480E02" w:rsidRDefault="00274F72" w:rsidP="003E1B7C">
      <w:pPr>
        <w:spacing w:line="360" w:lineRule="auto"/>
        <w:jc w:val="both"/>
        <w:rPr>
          <w:rFonts w:cs="Times New Roman"/>
          <w:szCs w:val="24"/>
        </w:rPr>
      </w:pPr>
      <w:r w:rsidRPr="00480E02">
        <w:rPr>
          <w:rFonts w:cs="Times New Roman"/>
          <w:szCs w:val="24"/>
        </w:rPr>
        <w:t xml:space="preserve">3. </w:t>
      </w:r>
      <w:r w:rsidR="003E1B7C" w:rsidRPr="00480E02">
        <w:rPr>
          <w:rFonts w:cs="Times New Roman"/>
          <w:szCs w:val="24"/>
        </w:rPr>
        <w:t xml:space="preserve">Timely management guided by predictive models which can predict growth of toxigenic </w:t>
      </w:r>
      <w:proofErr w:type="spellStart"/>
      <w:r w:rsidR="003E1B7C" w:rsidRPr="00480E02">
        <w:rPr>
          <w:rFonts w:cs="Times New Roman"/>
          <w:szCs w:val="24"/>
        </w:rPr>
        <w:t>molds</w:t>
      </w:r>
      <w:proofErr w:type="spellEnd"/>
      <w:r w:rsidR="003E1B7C" w:rsidRPr="00480E02">
        <w:rPr>
          <w:rFonts w:cs="Times New Roman"/>
          <w:szCs w:val="24"/>
        </w:rPr>
        <w:t xml:space="preserve"> and mycotoxin contamination, forecast optimum harvest and antifungal application time will contribute to preventing mycotoxin contamination.</w:t>
      </w:r>
    </w:p>
    <w:p w14:paraId="1457E1AE" w14:textId="77777777" w:rsidR="00274F72" w:rsidRPr="00480E02" w:rsidRDefault="00274F72" w:rsidP="003E1B7C">
      <w:pPr>
        <w:spacing w:line="360" w:lineRule="auto"/>
        <w:jc w:val="both"/>
        <w:rPr>
          <w:rFonts w:cs="Times New Roman"/>
          <w:szCs w:val="24"/>
        </w:rPr>
      </w:pPr>
      <w:r w:rsidRPr="00480E02">
        <w:rPr>
          <w:rFonts w:cs="Times New Roman"/>
          <w:szCs w:val="24"/>
        </w:rPr>
        <w:t xml:space="preserve">4. </w:t>
      </w:r>
      <w:r w:rsidR="003E1B7C" w:rsidRPr="00480E02">
        <w:rPr>
          <w:rFonts w:cs="Times New Roman"/>
          <w:szCs w:val="24"/>
        </w:rPr>
        <w:t xml:space="preserve">Postharvest strategies aimed at mycotoxin control focuses on drying and cleaning. These include drying of commodities to water levels too low to favour growth of fungi. </w:t>
      </w:r>
    </w:p>
    <w:p w14:paraId="1A505CA6" w14:textId="77777777" w:rsidR="00274F72" w:rsidRPr="00480E02" w:rsidRDefault="00274F72" w:rsidP="003E1B7C">
      <w:pPr>
        <w:spacing w:line="360" w:lineRule="auto"/>
        <w:jc w:val="both"/>
        <w:rPr>
          <w:rFonts w:cs="Times New Roman"/>
          <w:szCs w:val="24"/>
        </w:rPr>
      </w:pPr>
      <w:r w:rsidRPr="00480E02">
        <w:rPr>
          <w:rFonts w:cs="Times New Roman"/>
          <w:szCs w:val="24"/>
        </w:rPr>
        <w:t xml:space="preserve">5. </w:t>
      </w:r>
      <w:r w:rsidR="003E1B7C" w:rsidRPr="00480E02">
        <w:rPr>
          <w:rFonts w:cs="Times New Roman"/>
          <w:szCs w:val="24"/>
        </w:rPr>
        <w:t xml:space="preserve">Dry, clean, insect-free containers should be used in transporting commodities. </w:t>
      </w:r>
    </w:p>
    <w:p w14:paraId="077F2B35" w14:textId="77777777" w:rsidR="00274F72" w:rsidRPr="00480E02" w:rsidRDefault="00274F72" w:rsidP="003E1B7C">
      <w:pPr>
        <w:spacing w:line="360" w:lineRule="auto"/>
        <w:jc w:val="both"/>
        <w:rPr>
          <w:rFonts w:cs="Times New Roman"/>
          <w:szCs w:val="24"/>
        </w:rPr>
      </w:pPr>
      <w:r w:rsidRPr="00480E02">
        <w:rPr>
          <w:rFonts w:cs="Times New Roman"/>
          <w:szCs w:val="24"/>
        </w:rPr>
        <w:t xml:space="preserve">6. </w:t>
      </w:r>
      <w:r w:rsidR="003E1B7C" w:rsidRPr="00480E02">
        <w:rPr>
          <w:rFonts w:cs="Times New Roman"/>
          <w:szCs w:val="24"/>
        </w:rPr>
        <w:t xml:space="preserve">Freshly harvested crops with high moisture contents should not be piled for longer periods before drying or processing. </w:t>
      </w:r>
    </w:p>
    <w:p w14:paraId="19687785" w14:textId="77777777" w:rsidR="00274F72" w:rsidRPr="00480E02" w:rsidRDefault="00274F72" w:rsidP="003E1B7C">
      <w:pPr>
        <w:spacing w:line="360" w:lineRule="auto"/>
        <w:jc w:val="both"/>
        <w:rPr>
          <w:rFonts w:cs="Times New Roman"/>
          <w:szCs w:val="24"/>
        </w:rPr>
      </w:pPr>
      <w:r w:rsidRPr="00480E02">
        <w:rPr>
          <w:rFonts w:cs="Times New Roman"/>
          <w:szCs w:val="24"/>
        </w:rPr>
        <w:t xml:space="preserve">7. </w:t>
      </w:r>
      <w:r w:rsidR="003E1B7C" w:rsidRPr="00480E02">
        <w:rPr>
          <w:rFonts w:cs="Times New Roman"/>
          <w:szCs w:val="24"/>
        </w:rPr>
        <w:t xml:space="preserve">During storage, cooling and aeration systems are necessary to regulate temperature, humidity and gas </w:t>
      </w:r>
      <w:proofErr w:type="gramStart"/>
      <w:r w:rsidR="003E1B7C" w:rsidRPr="00480E02">
        <w:rPr>
          <w:rFonts w:cs="Times New Roman"/>
          <w:szCs w:val="24"/>
        </w:rPr>
        <w:t>atmosphere .</w:t>
      </w:r>
      <w:proofErr w:type="gramEnd"/>
      <w:r w:rsidR="003E1B7C" w:rsidRPr="00480E02">
        <w:rPr>
          <w:rFonts w:cs="Times New Roman"/>
          <w:szCs w:val="24"/>
        </w:rPr>
        <w:t xml:space="preserve"> </w:t>
      </w:r>
    </w:p>
    <w:p w14:paraId="00449270" w14:textId="77777777" w:rsidR="00274F72" w:rsidRPr="00480E02" w:rsidRDefault="00274F72" w:rsidP="003E1B7C">
      <w:pPr>
        <w:spacing w:line="360" w:lineRule="auto"/>
        <w:jc w:val="both"/>
        <w:rPr>
          <w:rFonts w:cs="Times New Roman"/>
          <w:szCs w:val="24"/>
        </w:rPr>
      </w:pPr>
      <w:r w:rsidRPr="00480E02">
        <w:rPr>
          <w:rFonts w:cs="Times New Roman"/>
          <w:szCs w:val="24"/>
        </w:rPr>
        <w:t xml:space="preserve">8. </w:t>
      </w:r>
      <w:r w:rsidR="003E1B7C" w:rsidRPr="00480E02">
        <w:rPr>
          <w:rFonts w:cs="Times New Roman"/>
          <w:szCs w:val="24"/>
        </w:rPr>
        <w:t xml:space="preserve">Storage facilities should protect commodities from rain water and ground water drainage. </w:t>
      </w:r>
    </w:p>
    <w:p w14:paraId="7994FEF1" w14:textId="77777777" w:rsidR="00274F72" w:rsidRPr="00480E02" w:rsidRDefault="00274F72" w:rsidP="003E1B7C">
      <w:pPr>
        <w:spacing w:line="360" w:lineRule="auto"/>
        <w:jc w:val="both"/>
        <w:rPr>
          <w:rFonts w:cs="Times New Roman"/>
          <w:szCs w:val="24"/>
        </w:rPr>
      </w:pPr>
      <w:r w:rsidRPr="00480E02">
        <w:rPr>
          <w:rFonts w:cs="Times New Roman"/>
          <w:szCs w:val="24"/>
        </w:rPr>
        <w:lastRenderedPageBreak/>
        <w:t xml:space="preserve">9. </w:t>
      </w:r>
      <w:r w:rsidR="003E1B7C" w:rsidRPr="00480E02">
        <w:rPr>
          <w:rFonts w:cs="Times New Roman"/>
          <w:szCs w:val="24"/>
        </w:rPr>
        <w:t xml:space="preserve">The use of appropriate anti-fungal agents and pesticides to protect against rodents, insects and fungal growth is recommended. </w:t>
      </w:r>
    </w:p>
    <w:p w14:paraId="3D19623E" w14:textId="77777777" w:rsidR="00274F72" w:rsidRPr="00480E02" w:rsidRDefault="00274F72" w:rsidP="003E1B7C">
      <w:pPr>
        <w:spacing w:line="360" w:lineRule="auto"/>
        <w:jc w:val="both"/>
        <w:rPr>
          <w:rFonts w:cs="Times New Roman"/>
          <w:szCs w:val="24"/>
        </w:rPr>
      </w:pPr>
      <w:r w:rsidRPr="00480E02">
        <w:rPr>
          <w:rFonts w:cs="Times New Roman"/>
          <w:szCs w:val="24"/>
        </w:rPr>
        <w:t xml:space="preserve">10. </w:t>
      </w:r>
      <w:r w:rsidR="003E1B7C" w:rsidRPr="00480E02">
        <w:rPr>
          <w:rFonts w:cs="Times New Roman"/>
          <w:szCs w:val="24"/>
        </w:rPr>
        <w:t xml:space="preserve">Essential oils are naturally-occurring plant based volatile compounds with antimicrobial and antioxidant activities. Being volatile and biodegradable in nature, they may be used as fumigants for stored food commodities. </w:t>
      </w:r>
    </w:p>
    <w:p w14:paraId="7B7FB01B" w14:textId="5C2ACC01" w:rsidR="003E1B7C" w:rsidRPr="00480E02" w:rsidRDefault="00274F72" w:rsidP="003E1B7C">
      <w:pPr>
        <w:spacing w:line="360" w:lineRule="auto"/>
        <w:jc w:val="both"/>
        <w:rPr>
          <w:rFonts w:cs="Times New Roman"/>
          <w:szCs w:val="24"/>
        </w:rPr>
      </w:pPr>
      <w:r w:rsidRPr="00480E02">
        <w:rPr>
          <w:rFonts w:cs="Times New Roman"/>
          <w:szCs w:val="24"/>
        </w:rPr>
        <w:t xml:space="preserve">11. </w:t>
      </w:r>
      <w:r w:rsidR="003E1B7C" w:rsidRPr="00480E02">
        <w:rPr>
          <w:rFonts w:cs="Times New Roman"/>
          <w:szCs w:val="24"/>
        </w:rPr>
        <w:t xml:space="preserve">Regular check for any rise in temperature and moisture levels that could support </w:t>
      </w:r>
      <w:proofErr w:type="spellStart"/>
      <w:r w:rsidR="003E1B7C" w:rsidRPr="00480E02">
        <w:rPr>
          <w:rFonts w:cs="Times New Roman"/>
          <w:szCs w:val="24"/>
        </w:rPr>
        <w:t>mold</w:t>
      </w:r>
      <w:proofErr w:type="spellEnd"/>
      <w:r w:rsidR="003E1B7C" w:rsidRPr="00480E02">
        <w:rPr>
          <w:rFonts w:cs="Times New Roman"/>
          <w:szCs w:val="24"/>
        </w:rPr>
        <w:t xml:space="preserve"> growth should be implemented. </w:t>
      </w:r>
    </w:p>
    <w:p w14:paraId="6C940573" w14:textId="77777777" w:rsidR="003E1B7C" w:rsidRPr="00480E02" w:rsidRDefault="003E1B7C" w:rsidP="003E1B7C">
      <w:pPr>
        <w:pStyle w:val="Heading3"/>
        <w:spacing w:line="360" w:lineRule="auto"/>
      </w:pPr>
      <w:bookmarkStart w:id="12" w:name="_Toc530150365"/>
      <w:r w:rsidRPr="00480E02">
        <w:t>Chemical methods</w:t>
      </w:r>
      <w:bookmarkEnd w:id="12"/>
    </w:p>
    <w:p w14:paraId="05A2008C" w14:textId="1C7EE79F" w:rsidR="003E1B7C" w:rsidRPr="00480E02" w:rsidRDefault="003E1B7C" w:rsidP="003E1B7C">
      <w:pPr>
        <w:spacing w:line="360" w:lineRule="auto"/>
        <w:jc w:val="both"/>
        <w:rPr>
          <w:rFonts w:cs="Times New Roman"/>
          <w:szCs w:val="24"/>
        </w:rPr>
      </w:pPr>
      <w:r w:rsidRPr="00480E02">
        <w:rPr>
          <w:rFonts w:cs="Times New Roman"/>
          <w:szCs w:val="24"/>
        </w:rPr>
        <w:t xml:space="preserve">The use of acids, bases, oxidizing agents, reducing agents, chlorinating agents in the degradation of mycotoxins have not been entirely effective.  Some of them have detrimental effects on the nutritional values of the foods in which they are used. The use of ammonia and hydrochloric acid, although achieved efficient detoxification, however reduced the nutritional values of the treated commodities. Some </w:t>
      </w:r>
      <w:proofErr w:type="spellStart"/>
      <w:r w:rsidRPr="00480E02">
        <w:rPr>
          <w:rFonts w:cs="Times New Roman"/>
          <w:szCs w:val="24"/>
        </w:rPr>
        <w:t>molds</w:t>
      </w:r>
      <w:proofErr w:type="spellEnd"/>
      <w:r w:rsidRPr="00480E02">
        <w:rPr>
          <w:rFonts w:cs="Times New Roman"/>
          <w:szCs w:val="24"/>
        </w:rPr>
        <w:t xml:space="preserve"> have developed resistance to chemicals and some preservatives. For example, some </w:t>
      </w:r>
      <w:proofErr w:type="spellStart"/>
      <w:r w:rsidRPr="00480E02">
        <w:rPr>
          <w:rFonts w:cs="Times New Roman"/>
          <w:i/>
          <w:szCs w:val="24"/>
        </w:rPr>
        <w:t>Penicilli</w:t>
      </w:r>
      <w:proofErr w:type="spellEnd"/>
      <w:r w:rsidRPr="00480E02">
        <w:rPr>
          <w:rFonts w:cs="Times New Roman"/>
          <w:i/>
          <w:szCs w:val="24"/>
        </w:rPr>
        <w:t xml:space="preserve"> </w:t>
      </w:r>
      <w:r w:rsidRPr="00480E02">
        <w:rPr>
          <w:rFonts w:cs="Times New Roman"/>
          <w:szCs w:val="24"/>
        </w:rPr>
        <w:t>can grow in the presence of potassium sorbate while others are able to degrade sorbate. Antifungal activity against aflatoxin-producing fungi and inhibition of aflatoxin formation have been reported with extracts and powders of various s</w:t>
      </w:r>
      <w:r w:rsidR="00274F72" w:rsidRPr="00480E02">
        <w:rPr>
          <w:rFonts w:cs="Times New Roman"/>
          <w:szCs w:val="24"/>
        </w:rPr>
        <w:t>pices, herbs, and essential oil</w:t>
      </w:r>
      <w:r w:rsidRPr="00480E02">
        <w:rPr>
          <w:rFonts w:cs="Times New Roman"/>
          <w:szCs w:val="24"/>
        </w:rPr>
        <w:t>.</w:t>
      </w:r>
    </w:p>
    <w:p w14:paraId="32FBA066" w14:textId="77777777" w:rsidR="003E1B7C" w:rsidRPr="00480E02" w:rsidRDefault="003E1B7C" w:rsidP="003E1B7C">
      <w:pPr>
        <w:pStyle w:val="Heading3"/>
        <w:spacing w:line="360" w:lineRule="auto"/>
      </w:pPr>
      <w:r w:rsidRPr="00480E02">
        <w:t xml:space="preserve">  </w:t>
      </w:r>
      <w:bookmarkStart w:id="13" w:name="_Toc530150366"/>
      <w:r w:rsidRPr="00480E02">
        <w:t>Processing operations</w:t>
      </w:r>
      <w:bookmarkEnd w:id="13"/>
    </w:p>
    <w:p w14:paraId="7A4542F7" w14:textId="727B1E48" w:rsidR="003E1B7C" w:rsidRPr="00480E02" w:rsidRDefault="003E1B7C" w:rsidP="003E1B7C">
      <w:pPr>
        <w:spacing w:line="360" w:lineRule="auto"/>
        <w:jc w:val="both"/>
        <w:rPr>
          <w:rFonts w:cs="Times New Roman"/>
          <w:szCs w:val="24"/>
        </w:rPr>
      </w:pPr>
      <w:r w:rsidRPr="00480E02">
        <w:rPr>
          <w:rFonts w:cs="Times New Roman"/>
          <w:szCs w:val="24"/>
        </w:rPr>
        <w:t>Pre-processing operations such as sorting, trimming and cleaning may reduce mycotoxin contamination of food commodities but may not achieve complete elimination of the contamination. During milling, mycotoxins undergo re-distribution and concentration in certain mill fractions, particularly in the germ and bran fractions during dry milling. In wet milling, for example wet milling of corn, mycotoxins are not destroyed but may be dissolved in the steep water or distributed among the process by-products. Roasting as a processing method may also achieve considerable reduction of mycotoxin in the food commodities.</w:t>
      </w:r>
      <w:r w:rsidR="00385419" w:rsidRPr="00480E02">
        <w:rPr>
          <w:rFonts w:cs="Times New Roman"/>
          <w:szCs w:val="24"/>
        </w:rPr>
        <w:t xml:space="preserve"> P</w:t>
      </w:r>
      <w:r w:rsidRPr="00480E02">
        <w:rPr>
          <w:rFonts w:cs="Times New Roman"/>
          <w:szCs w:val="24"/>
        </w:rPr>
        <w:t>artial roasting and blanching reduced aflatoxin production in peanut by above 72% during storage. Roasting at 150°C for 30 min also degraded AFB</w:t>
      </w:r>
      <w:r w:rsidRPr="00480E02">
        <w:rPr>
          <w:rFonts w:cs="Times New Roman"/>
          <w:szCs w:val="24"/>
          <w:vertAlign w:val="subscript"/>
        </w:rPr>
        <w:t xml:space="preserve">1 </w:t>
      </w:r>
      <w:r w:rsidRPr="00480E02">
        <w:rPr>
          <w:rFonts w:cs="Times New Roman"/>
          <w:szCs w:val="24"/>
        </w:rPr>
        <w:t>and AFB</w:t>
      </w:r>
      <w:r w:rsidRPr="00480E02">
        <w:rPr>
          <w:rFonts w:cs="Times New Roman"/>
          <w:szCs w:val="24"/>
          <w:vertAlign w:val="subscript"/>
        </w:rPr>
        <w:t xml:space="preserve">2 </w:t>
      </w:r>
      <w:r w:rsidRPr="00480E02">
        <w:rPr>
          <w:rFonts w:cs="Times New Roman"/>
          <w:szCs w:val="24"/>
        </w:rPr>
        <w:t xml:space="preserve">by 66% and 63% respectively in naturally contaminated pistachio kernel. </w:t>
      </w:r>
    </w:p>
    <w:p w14:paraId="4E26FCBC" w14:textId="77777777" w:rsidR="003E1B7C" w:rsidRPr="00480E02" w:rsidRDefault="003E1B7C" w:rsidP="003E1B7C">
      <w:pPr>
        <w:pStyle w:val="Heading3"/>
        <w:spacing w:line="360" w:lineRule="auto"/>
      </w:pPr>
      <w:bookmarkStart w:id="14" w:name="_Toc530150367"/>
      <w:r w:rsidRPr="00480E02">
        <w:lastRenderedPageBreak/>
        <w:t>Biological control</w:t>
      </w:r>
      <w:bookmarkEnd w:id="14"/>
    </w:p>
    <w:p w14:paraId="48BA8DA4" w14:textId="53D16AF4" w:rsidR="003E1B7C" w:rsidRPr="00480E02" w:rsidRDefault="003E1B7C" w:rsidP="003E1B7C">
      <w:pPr>
        <w:spacing w:line="360" w:lineRule="auto"/>
        <w:jc w:val="both"/>
        <w:rPr>
          <w:rFonts w:cs="Times New Roman"/>
          <w:szCs w:val="24"/>
        </w:rPr>
      </w:pPr>
      <w:r w:rsidRPr="00480E02">
        <w:rPr>
          <w:rFonts w:cs="Times New Roman"/>
          <w:szCs w:val="24"/>
        </w:rPr>
        <w:t>Various physical methods such as microwave heating, electronic eye sorting, UV irradiation, solar irradiation, solvent extraction, adsorption, ozone gas, gamma rays and floatation have been used to control mycotoxins in foods. These methods have had limited efficiency based on safety issues, losses in nutritional values and palatability of feeds, cost implications and limited efficacy with different mycotoxins.</w:t>
      </w:r>
      <w:r w:rsidR="00980AB8" w:rsidRPr="00480E02">
        <w:rPr>
          <w:rFonts w:cs="Times New Roman"/>
          <w:szCs w:val="24"/>
        </w:rPr>
        <w:t xml:space="preserve"> Thus,</w:t>
      </w:r>
      <w:r w:rsidRPr="00480E02">
        <w:rPr>
          <w:rFonts w:cs="Times New Roman"/>
          <w:szCs w:val="24"/>
        </w:rPr>
        <w:t xml:space="preserve"> there is need to seek for an effective, specific, feasible and environmentally sound decontamination technique. </w:t>
      </w:r>
    </w:p>
    <w:p w14:paraId="37D8A226" w14:textId="77777777" w:rsidR="003E1B7C" w:rsidRPr="00480E02" w:rsidRDefault="003E1B7C" w:rsidP="003E1B7C">
      <w:pPr>
        <w:spacing w:line="360" w:lineRule="auto"/>
        <w:jc w:val="both"/>
        <w:rPr>
          <w:rFonts w:cs="Times New Roman"/>
          <w:szCs w:val="24"/>
        </w:rPr>
      </w:pPr>
    </w:p>
    <w:p w14:paraId="0CD14FEB" w14:textId="1AB70409" w:rsidR="003E1B7C" w:rsidRPr="00480E02" w:rsidRDefault="003E1B7C" w:rsidP="003E1B7C">
      <w:pPr>
        <w:spacing w:line="360" w:lineRule="auto"/>
        <w:jc w:val="both"/>
        <w:rPr>
          <w:rFonts w:cs="Times New Roman"/>
          <w:szCs w:val="24"/>
        </w:rPr>
      </w:pPr>
      <w:r w:rsidRPr="00480E02">
        <w:rPr>
          <w:rFonts w:cs="Times New Roman"/>
          <w:szCs w:val="24"/>
        </w:rPr>
        <w:t xml:space="preserve">Bio-preservation is a method of preserving food products that is based on the principle of employing the use of one organism to control another. In recent years, it has received much attention for control of spoilage in foods. Biological control can be achieved using non-toxigenic strains of </w:t>
      </w:r>
      <w:r w:rsidRPr="00480E02">
        <w:rPr>
          <w:rFonts w:cs="Times New Roman"/>
          <w:i/>
          <w:szCs w:val="24"/>
        </w:rPr>
        <w:t>A. flavus</w:t>
      </w:r>
      <w:r w:rsidRPr="00480E02">
        <w:rPr>
          <w:rFonts w:cs="Times New Roman"/>
          <w:szCs w:val="24"/>
        </w:rPr>
        <w:t xml:space="preserve"> and </w:t>
      </w:r>
      <w:r w:rsidRPr="00480E02">
        <w:rPr>
          <w:rFonts w:cs="Times New Roman"/>
          <w:i/>
          <w:szCs w:val="24"/>
        </w:rPr>
        <w:t xml:space="preserve">A. </w:t>
      </w:r>
      <w:proofErr w:type="spellStart"/>
      <w:r w:rsidRPr="00480E02">
        <w:rPr>
          <w:rFonts w:cs="Times New Roman"/>
          <w:i/>
          <w:szCs w:val="24"/>
        </w:rPr>
        <w:t>parasiticus</w:t>
      </w:r>
      <w:proofErr w:type="spellEnd"/>
      <w:r w:rsidRPr="00480E02">
        <w:rPr>
          <w:rFonts w:cs="Times New Roman"/>
          <w:szCs w:val="24"/>
        </w:rPr>
        <w:t xml:space="preserve"> in the soil of growing crops, by inoculating grains with conidia suspension or applied directly to the seedling or soil surface before planting. The naturally occurring toxigenic strains are then competitively eliminated by the non-toxigenic strain. Lactic acid bacteria (</w:t>
      </w:r>
      <w:r w:rsidRPr="00480E02">
        <w:rPr>
          <w:rFonts w:cs="Times New Roman"/>
          <w:i/>
          <w:szCs w:val="24"/>
        </w:rPr>
        <w:t>Lactobacillus spp</w:t>
      </w:r>
      <w:r w:rsidRPr="00480E02">
        <w:rPr>
          <w:rFonts w:cs="Times New Roman"/>
          <w:szCs w:val="24"/>
        </w:rPr>
        <w:t xml:space="preserve">.,) and yeast </w:t>
      </w:r>
      <w:r w:rsidRPr="00480E02">
        <w:rPr>
          <w:rFonts w:cs="Times New Roman"/>
          <w:i/>
          <w:szCs w:val="24"/>
        </w:rPr>
        <w:t>Saccharomyces spp</w:t>
      </w:r>
      <w:r w:rsidRPr="00480E02">
        <w:rPr>
          <w:rFonts w:cs="Times New Roman"/>
          <w:szCs w:val="24"/>
        </w:rPr>
        <w:t xml:space="preserve">. can also contribute to inhibition of </w:t>
      </w:r>
      <w:proofErr w:type="spellStart"/>
      <w:r w:rsidRPr="00480E02">
        <w:rPr>
          <w:rFonts w:cs="Times New Roman"/>
          <w:szCs w:val="24"/>
        </w:rPr>
        <w:t>molds</w:t>
      </w:r>
      <w:proofErr w:type="spellEnd"/>
      <w:r w:rsidRPr="00480E02">
        <w:rPr>
          <w:rFonts w:cs="Times New Roman"/>
          <w:szCs w:val="24"/>
        </w:rPr>
        <w:t xml:space="preserve"> development and consequently, production of mycotoxins.</w:t>
      </w:r>
    </w:p>
    <w:p w14:paraId="3F0ADCB3" w14:textId="77777777" w:rsidR="00E17818" w:rsidRPr="00480E02" w:rsidRDefault="00E17818">
      <w:pPr>
        <w:spacing w:before="0" w:after="160" w:line="259" w:lineRule="auto"/>
        <w:contextualSpacing w:val="0"/>
        <w:rPr>
          <w:iCs/>
          <w:szCs w:val="18"/>
        </w:rPr>
      </w:pPr>
      <w:bookmarkStart w:id="15" w:name="_Toc528997582"/>
      <w:r w:rsidRPr="00480E02">
        <w:br w:type="page"/>
      </w:r>
    </w:p>
    <w:p w14:paraId="6466B93F" w14:textId="75FA76DD" w:rsidR="00E17818" w:rsidRPr="00480E02" w:rsidRDefault="00E17818" w:rsidP="00E17818">
      <w:pPr>
        <w:pStyle w:val="Caption"/>
        <w:spacing w:line="360" w:lineRule="auto"/>
        <w:rPr>
          <w:rFonts w:cs="Times New Roman"/>
          <w:szCs w:val="24"/>
        </w:rPr>
      </w:pPr>
      <w:r w:rsidRPr="00480E02">
        <w:lastRenderedPageBreak/>
        <w:t xml:space="preserve">Table </w:t>
      </w:r>
      <w:r w:rsidRPr="00480E02">
        <w:fldChar w:fldCharType="begin"/>
      </w:r>
      <w:r w:rsidRPr="00480E02">
        <w:instrText xml:space="preserve"> STYLEREF 1 \s </w:instrText>
      </w:r>
      <w:r w:rsidRPr="00480E02">
        <w:fldChar w:fldCharType="separate"/>
      </w:r>
      <w:r w:rsidRPr="00480E02">
        <w:rPr>
          <w:noProof/>
        </w:rPr>
        <w:t>2</w:t>
      </w:r>
      <w:r w:rsidRPr="00480E02">
        <w:fldChar w:fldCharType="end"/>
      </w:r>
      <w:bookmarkStart w:id="16" w:name="_GoBack"/>
      <w:bookmarkEnd w:id="16"/>
      <w:r w:rsidRPr="00480E02">
        <w:t xml:space="preserve"> Mycotoxin detection methods</w:t>
      </w:r>
      <w:bookmarkEnd w:id="15"/>
    </w:p>
    <w:tbl>
      <w:tblPr>
        <w:tblW w:w="0" w:type="auto"/>
        <w:tblBorders>
          <w:top w:val="single" w:sz="4" w:space="0" w:color="auto"/>
          <w:bottom w:val="single" w:sz="4" w:space="0" w:color="auto"/>
        </w:tblBorders>
        <w:tblLook w:val="04A0" w:firstRow="1" w:lastRow="0" w:firstColumn="1" w:lastColumn="0" w:noHBand="0" w:noVBand="1"/>
      </w:tblPr>
      <w:tblGrid>
        <w:gridCol w:w="2910"/>
        <w:gridCol w:w="2925"/>
        <w:gridCol w:w="2952"/>
      </w:tblGrid>
      <w:tr w:rsidR="00480E02" w:rsidRPr="00480E02" w14:paraId="5BD90F36" w14:textId="77777777" w:rsidTr="00F13CF2">
        <w:tc>
          <w:tcPr>
            <w:tcW w:w="2910" w:type="dxa"/>
            <w:tcBorders>
              <w:bottom w:val="single" w:sz="4" w:space="0" w:color="auto"/>
            </w:tcBorders>
          </w:tcPr>
          <w:p w14:paraId="53DD8D5D" w14:textId="77777777" w:rsidR="00E17818" w:rsidRPr="00480E02" w:rsidRDefault="00E17818" w:rsidP="00F13CF2">
            <w:pPr>
              <w:spacing w:line="240" w:lineRule="auto"/>
              <w:jc w:val="both"/>
              <w:rPr>
                <w:rFonts w:cs="Times New Roman"/>
                <w:sz w:val="20"/>
                <w:szCs w:val="20"/>
              </w:rPr>
            </w:pPr>
            <w:bookmarkStart w:id="17" w:name="_Hlk527813681"/>
            <w:r w:rsidRPr="00480E02">
              <w:rPr>
                <w:rFonts w:cs="Times New Roman"/>
                <w:sz w:val="20"/>
                <w:szCs w:val="20"/>
              </w:rPr>
              <w:t xml:space="preserve">Methods </w:t>
            </w:r>
          </w:p>
        </w:tc>
        <w:tc>
          <w:tcPr>
            <w:tcW w:w="2925" w:type="dxa"/>
            <w:tcBorders>
              <w:bottom w:val="single" w:sz="4" w:space="0" w:color="auto"/>
            </w:tcBorders>
          </w:tcPr>
          <w:p w14:paraId="7584FCB4" w14:textId="77777777" w:rsidR="00E17818" w:rsidRPr="00480E02" w:rsidRDefault="00E17818" w:rsidP="00F13CF2">
            <w:pPr>
              <w:spacing w:line="240" w:lineRule="auto"/>
              <w:jc w:val="both"/>
              <w:rPr>
                <w:rFonts w:cs="Times New Roman"/>
                <w:sz w:val="20"/>
                <w:szCs w:val="20"/>
              </w:rPr>
            </w:pPr>
            <w:r w:rsidRPr="00480E02">
              <w:rPr>
                <w:rFonts w:cs="Times New Roman"/>
                <w:sz w:val="20"/>
                <w:szCs w:val="20"/>
              </w:rPr>
              <w:t>Advantages</w:t>
            </w:r>
          </w:p>
        </w:tc>
        <w:tc>
          <w:tcPr>
            <w:tcW w:w="2952" w:type="dxa"/>
            <w:tcBorders>
              <w:bottom w:val="single" w:sz="4" w:space="0" w:color="auto"/>
            </w:tcBorders>
          </w:tcPr>
          <w:p w14:paraId="09DF7004" w14:textId="77777777" w:rsidR="00E17818" w:rsidRPr="00480E02" w:rsidRDefault="00E17818" w:rsidP="00F13CF2">
            <w:pPr>
              <w:spacing w:line="240" w:lineRule="auto"/>
              <w:jc w:val="both"/>
              <w:rPr>
                <w:rFonts w:cs="Times New Roman"/>
                <w:sz w:val="20"/>
                <w:szCs w:val="20"/>
              </w:rPr>
            </w:pPr>
            <w:r w:rsidRPr="00480E02">
              <w:rPr>
                <w:rFonts w:cs="Times New Roman"/>
                <w:sz w:val="20"/>
                <w:szCs w:val="20"/>
              </w:rPr>
              <w:t>Disadvantages</w:t>
            </w:r>
          </w:p>
        </w:tc>
      </w:tr>
      <w:tr w:rsidR="00480E02" w:rsidRPr="00480E02" w14:paraId="3BBD5A53" w14:textId="77777777" w:rsidTr="00F13CF2">
        <w:tc>
          <w:tcPr>
            <w:tcW w:w="2910" w:type="dxa"/>
            <w:tcBorders>
              <w:top w:val="nil"/>
            </w:tcBorders>
          </w:tcPr>
          <w:p w14:paraId="31296894"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TLC</w:t>
            </w:r>
          </w:p>
          <w:p w14:paraId="1C9DC711" w14:textId="77777777" w:rsidR="00E17818" w:rsidRPr="00480E02" w:rsidRDefault="00E17818" w:rsidP="00F13CF2">
            <w:pPr>
              <w:spacing w:line="240" w:lineRule="auto"/>
              <w:jc w:val="both"/>
              <w:rPr>
                <w:rFonts w:cs="Times New Roman"/>
                <w:sz w:val="20"/>
                <w:szCs w:val="20"/>
              </w:rPr>
            </w:pPr>
          </w:p>
        </w:tc>
        <w:tc>
          <w:tcPr>
            <w:tcW w:w="2925" w:type="dxa"/>
            <w:tcBorders>
              <w:top w:val="nil"/>
            </w:tcBorders>
          </w:tcPr>
          <w:p w14:paraId="6BEA8DB9"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Simple, inexpensive, and rapid</w:t>
            </w:r>
          </w:p>
          <w:p w14:paraId="204BD50A"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Can be used for screening</w:t>
            </w:r>
          </w:p>
          <w:p w14:paraId="1838AA97"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Simultaneous analysis of multiple</w:t>
            </w:r>
          </w:p>
          <w:p w14:paraId="50F5210C"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mycotoxins</w:t>
            </w:r>
          </w:p>
          <w:p w14:paraId="67019A0E"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Sensitive for aflatoxins &amp; ochratoxin A</w:t>
            </w:r>
          </w:p>
          <w:p w14:paraId="437FFCFA" w14:textId="77777777" w:rsidR="00E17818" w:rsidRPr="00480E02" w:rsidRDefault="00E17818" w:rsidP="00F13CF2">
            <w:pPr>
              <w:spacing w:line="240" w:lineRule="auto"/>
              <w:jc w:val="both"/>
              <w:rPr>
                <w:rFonts w:cs="Times New Roman"/>
                <w:sz w:val="20"/>
                <w:szCs w:val="20"/>
              </w:rPr>
            </w:pPr>
          </w:p>
        </w:tc>
        <w:tc>
          <w:tcPr>
            <w:tcW w:w="2952" w:type="dxa"/>
            <w:tcBorders>
              <w:top w:val="nil"/>
            </w:tcBorders>
          </w:tcPr>
          <w:p w14:paraId="2018E042"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Poor sensitivity (for some mycotoxins)</w:t>
            </w:r>
          </w:p>
          <w:p w14:paraId="75600ADB"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Poor precision</w:t>
            </w:r>
          </w:p>
          <w:p w14:paraId="008D6D52"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Adequate separation may require two-dimensional analysis</w:t>
            </w:r>
          </w:p>
          <w:p w14:paraId="4CA79CB5"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 xml:space="preserve"> Quantitative only when used with a densitometer</w:t>
            </w:r>
          </w:p>
          <w:p w14:paraId="5533B541" w14:textId="77777777" w:rsidR="00E17818" w:rsidRPr="00480E02" w:rsidRDefault="00E17818" w:rsidP="00F13CF2">
            <w:pPr>
              <w:spacing w:line="240" w:lineRule="auto"/>
              <w:jc w:val="both"/>
              <w:rPr>
                <w:rFonts w:cs="Times New Roman"/>
                <w:sz w:val="20"/>
                <w:szCs w:val="20"/>
              </w:rPr>
            </w:pPr>
          </w:p>
        </w:tc>
      </w:tr>
      <w:tr w:rsidR="00480E02" w:rsidRPr="00480E02" w14:paraId="20A87258" w14:textId="77777777" w:rsidTr="00F13CF2">
        <w:tc>
          <w:tcPr>
            <w:tcW w:w="2910" w:type="dxa"/>
          </w:tcPr>
          <w:p w14:paraId="6A3F0894"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GC</w:t>
            </w:r>
          </w:p>
          <w:p w14:paraId="0F38FB39" w14:textId="77777777" w:rsidR="00E17818" w:rsidRPr="00480E02" w:rsidRDefault="00E17818" w:rsidP="00F13CF2">
            <w:pPr>
              <w:spacing w:line="240" w:lineRule="auto"/>
              <w:jc w:val="both"/>
              <w:rPr>
                <w:rFonts w:cs="Times New Roman"/>
                <w:sz w:val="20"/>
                <w:szCs w:val="20"/>
              </w:rPr>
            </w:pPr>
          </w:p>
        </w:tc>
        <w:tc>
          <w:tcPr>
            <w:tcW w:w="2925" w:type="dxa"/>
          </w:tcPr>
          <w:p w14:paraId="180A6AF0"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Simultaneous analysis of multiple</w:t>
            </w:r>
          </w:p>
          <w:p w14:paraId="62B539A0"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mycotoxins</w:t>
            </w:r>
          </w:p>
          <w:p w14:paraId="5D70910E"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Good sensitivity</w:t>
            </w:r>
          </w:p>
          <w:p w14:paraId="4279AF6F"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May be automated (autosampler)</w:t>
            </w:r>
          </w:p>
          <w:p w14:paraId="514C1E00"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Provides confirmation (MS detector)</w:t>
            </w:r>
          </w:p>
          <w:p w14:paraId="7027B652" w14:textId="77777777" w:rsidR="00E17818" w:rsidRPr="00480E02" w:rsidRDefault="00E17818" w:rsidP="00F13CF2">
            <w:pPr>
              <w:spacing w:line="240" w:lineRule="auto"/>
              <w:jc w:val="both"/>
              <w:rPr>
                <w:rFonts w:cs="Times New Roman"/>
                <w:sz w:val="20"/>
                <w:szCs w:val="20"/>
              </w:rPr>
            </w:pPr>
          </w:p>
        </w:tc>
        <w:tc>
          <w:tcPr>
            <w:tcW w:w="2952" w:type="dxa"/>
          </w:tcPr>
          <w:p w14:paraId="3E8A5D34"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Expensive equipment</w:t>
            </w:r>
          </w:p>
          <w:p w14:paraId="5D265FA4"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Specialist expertise required</w:t>
            </w:r>
          </w:p>
          <w:p w14:paraId="243008EC"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Derivatization required</w:t>
            </w:r>
          </w:p>
          <w:p w14:paraId="61D30040"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Matrix interference problems</w:t>
            </w:r>
          </w:p>
          <w:p w14:paraId="76BD9221"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Carry-over effects from previous sample</w:t>
            </w:r>
          </w:p>
          <w:p w14:paraId="619BF7FE"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Variation in reproducibility &amp; repeatability</w:t>
            </w:r>
          </w:p>
          <w:p w14:paraId="3785BCCA" w14:textId="77777777" w:rsidR="00E17818" w:rsidRPr="00480E02" w:rsidRDefault="00E17818" w:rsidP="00F13CF2">
            <w:pPr>
              <w:spacing w:line="240" w:lineRule="auto"/>
              <w:jc w:val="both"/>
              <w:rPr>
                <w:rFonts w:cs="Times New Roman"/>
                <w:sz w:val="20"/>
                <w:szCs w:val="20"/>
              </w:rPr>
            </w:pPr>
          </w:p>
        </w:tc>
      </w:tr>
      <w:tr w:rsidR="00480E02" w:rsidRPr="00480E02" w14:paraId="666285B3" w14:textId="77777777" w:rsidTr="00F13CF2">
        <w:tc>
          <w:tcPr>
            <w:tcW w:w="2910" w:type="dxa"/>
          </w:tcPr>
          <w:p w14:paraId="79374F17"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HPLC</w:t>
            </w:r>
          </w:p>
          <w:p w14:paraId="59E21D3D" w14:textId="77777777" w:rsidR="00E17818" w:rsidRPr="00480E02" w:rsidRDefault="00E17818" w:rsidP="00F13CF2">
            <w:pPr>
              <w:spacing w:line="240" w:lineRule="auto"/>
              <w:jc w:val="both"/>
              <w:rPr>
                <w:rFonts w:cs="Times New Roman"/>
                <w:sz w:val="20"/>
                <w:szCs w:val="20"/>
              </w:rPr>
            </w:pPr>
          </w:p>
        </w:tc>
        <w:tc>
          <w:tcPr>
            <w:tcW w:w="2925" w:type="dxa"/>
          </w:tcPr>
          <w:p w14:paraId="52889EFA"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Good sensitivity</w:t>
            </w:r>
          </w:p>
          <w:p w14:paraId="5E47B349"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Good selectivity</w:t>
            </w:r>
          </w:p>
          <w:p w14:paraId="7FB5E8E2"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Good repeatability</w:t>
            </w:r>
          </w:p>
          <w:p w14:paraId="00B41F7D"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May be automated (autosampler)</w:t>
            </w:r>
          </w:p>
          <w:p w14:paraId="1928BBC7"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Short analysis times</w:t>
            </w:r>
          </w:p>
          <w:p w14:paraId="4AB89211"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Official methods available</w:t>
            </w:r>
          </w:p>
          <w:p w14:paraId="25C8742D" w14:textId="77777777" w:rsidR="00E17818" w:rsidRPr="00480E02" w:rsidRDefault="00E17818" w:rsidP="00F13CF2">
            <w:pPr>
              <w:spacing w:line="240" w:lineRule="auto"/>
              <w:jc w:val="both"/>
              <w:rPr>
                <w:rFonts w:cs="Times New Roman"/>
                <w:sz w:val="20"/>
                <w:szCs w:val="20"/>
              </w:rPr>
            </w:pPr>
          </w:p>
        </w:tc>
        <w:tc>
          <w:tcPr>
            <w:tcW w:w="2952" w:type="dxa"/>
          </w:tcPr>
          <w:p w14:paraId="161DA3FD"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Expensive equipment</w:t>
            </w:r>
          </w:p>
          <w:p w14:paraId="0A28D8E3"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Specialist expertise required</w:t>
            </w:r>
          </w:p>
          <w:p w14:paraId="5C1523E0"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May require derivatization</w:t>
            </w:r>
          </w:p>
          <w:p w14:paraId="320E370C" w14:textId="77777777" w:rsidR="00E17818" w:rsidRPr="00480E02" w:rsidRDefault="00E17818" w:rsidP="00F13CF2">
            <w:pPr>
              <w:spacing w:line="240" w:lineRule="auto"/>
              <w:jc w:val="both"/>
              <w:rPr>
                <w:rFonts w:cs="Times New Roman"/>
                <w:sz w:val="20"/>
                <w:szCs w:val="20"/>
              </w:rPr>
            </w:pPr>
          </w:p>
        </w:tc>
      </w:tr>
      <w:tr w:rsidR="00480E02" w:rsidRPr="00480E02" w14:paraId="3773ABB8" w14:textId="77777777" w:rsidTr="00F13CF2">
        <w:tc>
          <w:tcPr>
            <w:tcW w:w="2910" w:type="dxa"/>
          </w:tcPr>
          <w:p w14:paraId="6CB002A9" w14:textId="77777777" w:rsidR="00E17818" w:rsidRPr="00480E02" w:rsidRDefault="00E17818" w:rsidP="00F13CF2">
            <w:pPr>
              <w:spacing w:line="240" w:lineRule="auto"/>
              <w:jc w:val="both"/>
              <w:rPr>
                <w:rFonts w:cs="Times New Roman"/>
                <w:sz w:val="20"/>
                <w:szCs w:val="20"/>
                <w:lang w:val="en-US"/>
              </w:rPr>
            </w:pPr>
            <w:r w:rsidRPr="00480E02">
              <w:rPr>
                <w:rFonts w:cs="Times New Roman"/>
                <w:bCs/>
                <w:sz w:val="20"/>
                <w:szCs w:val="20"/>
                <w:lang w:val="en-US"/>
              </w:rPr>
              <w:t>LC/MS</w:t>
            </w:r>
          </w:p>
          <w:p w14:paraId="3762F70B" w14:textId="77777777" w:rsidR="00E17818" w:rsidRPr="00480E02" w:rsidRDefault="00E17818" w:rsidP="00F13CF2">
            <w:pPr>
              <w:spacing w:line="240" w:lineRule="auto"/>
              <w:jc w:val="both"/>
              <w:rPr>
                <w:rFonts w:cs="Times New Roman"/>
                <w:sz w:val="20"/>
                <w:szCs w:val="20"/>
              </w:rPr>
            </w:pPr>
          </w:p>
        </w:tc>
        <w:tc>
          <w:tcPr>
            <w:tcW w:w="2925" w:type="dxa"/>
          </w:tcPr>
          <w:p w14:paraId="6AAC3F54" w14:textId="77777777" w:rsidR="00E17818" w:rsidRPr="00480E02" w:rsidRDefault="00E17818" w:rsidP="00F13CF2">
            <w:pPr>
              <w:spacing w:line="240" w:lineRule="auto"/>
              <w:jc w:val="both"/>
              <w:rPr>
                <w:rFonts w:cs="Times New Roman"/>
                <w:sz w:val="20"/>
                <w:szCs w:val="20"/>
                <w:lang w:val="en-US"/>
              </w:rPr>
            </w:pPr>
            <w:r w:rsidRPr="00480E02">
              <w:rPr>
                <w:rFonts w:cs="Times New Roman"/>
                <w:bCs/>
                <w:sz w:val="20"/>
                <w:szCs w:val="20"/>
                <w:lang w:val="en-US"/>
              </w:rPr>
              <w:t>Simultaneous analysis of multiple</w:t>
            </w:r>
          </w:p>
          <w:p w14:paraId="6D066DA7" w14:textId="77777777" w:rsidR="00E17818" w:rsidRPr="00480E02" w:rsidRDefault="00E17818" w:rsidP="00F13CF2">
            <w:pPr>
              <w:spacing w:line="240" w:lineRule="auto"/>
              <w:jc w:val="both"/>
              <w:rPr>
                <w:rFonts w:cs="Times New Roman"/>
                <w:sz w:val="20"/>
                <w:szCs w:val="20"/>
                <w:lang w:val="en-US"/>
              </w:rPr>
            </w:pPr>
            <w:r w:rsidRPr="00480E02">
              <w:rPr>
                <w:rFonts w:cs="Times New Roman"/>
                <w:bCs/>
                <w:sz w:val="20"/>
                <w:szCs w:val="20"/>
                <w:lang w:val="en-US"/>
              </w:rPr>
              <w:t>mycotoxins</w:t>
            </w:r>
          </w:p>
          <w:p w14:paraId="2AA98E57" w14:textId="77777777" w:rsidR="00E17818" w:rsidRPr="00480E02" w:rsidRDefault="00E17818" w:rsidP="00F13CF2">
            <w:pPr>
              <w:spacing w:line="240" w:lineRule="auto"/>
              <w:jc w:val="both"/>
              <w:rPr>
                <w:rFonts w:cs="Times New Roman"/>
                <w:sz w:val="20"/>
                <w:szCs w:val="20"/>
                <w:lang w:val="en-US"/>
              </w:rPr>
            </w:pPr>
            <w:r w:rsidRPr="00480E02">
              <w:rPr>
                <w:rFonts w:cs="Times New Roman"/>
                <w:bCs/>
                <w:sz w:val="20"/>
                <w:szCs w:val="20"/>
                <w:lang w:val="en-US"/>
              </w:rPr>
              <w:t>Good sensitivity (LC/MS/MS)</w:t>
            </w:r>
          </w:p>
          <w:p w14:paraId="45C65E05" w14:textId="77777777" w:rsidR="00E17818" w:rsidRPr="00480E02" w:rsidRDefault="00E17818" w:rsidP="00F13CF2">
            <w:pPr>
              <w:spacing w:line="240" w:lineRule="auto"/>
              <w:jc w:val="both"/>
              <w:rPr>
                <w:rFonts w:cs="Times New Roman"/>
                <w:sz w:val="20"/>
                <w:szCs w:val="20"/>
                <w:lang w:val="en-US"/>
              </w:rPr>
            </w:pPr>
            <w:r w:rsidRPr="00480E02">
              <w:rPr>
                <w:rFonts w:cs="Times New Roman"/>
                <w:bCs/>
                <w:sz w:val="20"/>
                <w:szCs w:val="20"/>
                <w:lang w:val="en-US"/>
              </w:rPr>
              <w:t>Provides confirmation</w:t>
            </w:r>
          </w:p>
          <w:p w14:paraId="6611CB6B" w14:textId="77777777" w:rsidR="00E17818" w:rsidRPr="00480E02" w:rsidRDefault="00E17818" w:rsidP="00F13CF2">
            <w:pPr>
              <w:spacing w:line="240" w:lineRule="auto"/>
              <w:jc w:val="both"/>
              <w:rPr>
                <w:rFonts w:cs="Times New Roman"/>
                <w:sz w:val="20"/>
                <w:szCs w:val="20"/>
              </w:rPr>
            </w:pPr>
            <w:r w:rsidRPr="00480E02">
              <w:rPr>
                <w:rFonts w:cs="Times New Roman"/>
                <w:bCs/>
                <w:sz w:val="20"/>
                <w:szCs w:val="20"/>
                <w:lang w:val="en-US"/>
              </w:rPr>
              <w:t>No derivatization required</w:t>
            </w:r>
          </w:p>
        </w:tc>
        <w:tc>
          <w:tcPr>
            <w:tcW w:w="2952" w:type="dxa"/>
          </w:tcPr>
          <w:p w14:paraId="53B5AD66" w14:textId="77777777" w:rsidR="00E17818" w:rsidRPr="00480E02" w:rsidRDefault="00E17818" w:rsidP="00F13CF2">
            <w:pPr>
              <w:spacing w:line="240" w:lineRule="auto"/>
              <w:jc w:val="both"/>
              <w:rPr>
                <w:rFonts w:cs="Times New Roman"/>
                <w:sz w:val="20"/>
                <w:szCs w:val="20"/>
                <w:lang w:val="en-US"/>
              </w:rPr>
            </w:pPr>
            <w:r w:rsidRPr="00480E02">
              <w:rPr>
                <w:rFonts w:cs="Times New Roman"/>
                <w:bCs/>
                <w:sz w:val="20"/>
                <w:szCs w:val="20"/>
                <w:lang w:val="en-US"/>
              </w:rPr>
              <w:t>Very expensive</w:t>
            </w:r>
          </w:p>
          <w:p w14:paraId="7BCA009C" w14:textId="77777777" w:rsidR="00E17818" w:rsidRPr="00480E02" w:rsidRDefault="00E17818" w:rsidP="00F13CF2">
            <w:pPr>
              <w:spacing w:line="240" w:lineRule="auto"/>
              <w:jc w:val="both"/>
              <w:rPr>
                <w:rFonts w:cs="Times New Roman"/>
                <w:sz w:val="20"/>
                <w:szCs w:val="20"/>
                <w:lang w:val="en-US"/>
              </w:rPr>
            </w:pPr>
            <w:r w:rsidRPr="00480E02">
              <w:rPr>
                <w:rFonts w:cs="Times New Roman"/>
                <w:bCs/>
                <w:sz w:val="20"/>
                <w:szCs w:val="20"/>
                <w:lang w:val="en-US"/>
              </w:rPr>
              <w:t>Specialist expertise requested</w:t>
            </w:r>
          </w:p>
          <w:p w14:paraId="0F8669B8" w14:textId="77777777" w:rsidR="00E17818" w:rsidRPr="00480E02" w:rsidRDefault="00E17818" w:rsidP="00F13CF2">
            <w:pPr>
              <w:spacing w:line="240" w:lineRule="auto"/>
              <w:jc w:val="both"/>
              <w:rPr>
                <w:rFonts w:cs="Times New Roman"/>
                <w:sz w:val="20"/>
                <w:szCs w:val="20"/>
                <w:lang w:val="en-US"/>
              </w:rPr>
            </w:pPr>
            <w:r w:rsidRPr="00480E02">
              <w:rPr>
                <w:rFonts w:cs="Times New Roman"/>
                <w:bCs/>
                <w:sz w:val="20"/>
                <w:szCs w:val="20"/>
                <w:lang w:val="en-US"/>
              </w:rPr>
              <w:t>Sensitivity relies on ionization technique</w:t>
            </w:r>
          </w:p>
          <w:p w14:paraId="329273DD" w14:textId="77777777" w:rsidR="00E17818" w:rsidRPr="00480E02" w:rsidRDefault="00E17818" w:rsidP="00F13CF2">
            <w:pPr>
              <w:spacing w:line="240" w:lineRule="auto"/>
              <w:jc w:val="both"/>
              <w:rPr>
                <w:rFonts w:cs="Times New Roman"/>
                <w:b/>
                <w:sz w:val="20"/>
                <w:szCs w:val="20"/>
              </w:rPr>
            </w:pPr>
          </w:p>
        </w:tc>
      </w:tr>
      <w:tr w:rsidR="00480E02" w:rsidRPr="00480E02" w14:paraId="6B82CF45" w14:textId="77777777" w:rsidTr="00F13CF2">
        <w:tc>
          <w:tcPr>
            <w:tcW w:w="2910" w:type="dxa"/>
          </w:tcPr>
          <w:p w14:paraId="7565E252" w14:textId="77777777" w:rsidR="007B56FF" w:rsidRPr="00480E02" w:rsidRDefault="007B56FF" w:rsidP="00F13CF2">
            <w:pPr>
              <w:spacing w:line="240" w:lineRule="auto"/>
              <w:jc w:val="both"/>
              <w:rPr>
                <w:rFonts w:cs="Times New Roman"/>
                <w:bCs/>
                <w:sz w:val="20"/>
                <w:szCs w:val="20"/>
                <w:lang w:val="en-US"/>
              </w:rPr>
            </w:pPr>
          </w:p>
        </w:tc>
        <w:tc>
          <w:tcPr>
            <w:tcW w:w="2925" w:type="dxa"/>
          </w:tcPr>
          <w:p w14:paraId="60A85621" w14:textId="77777777" w:rsidR="007B56FF" w:rsidRPr="00480E02" w:rsidRDefault="007B56FF" w:rsidP="00F13CF2">
            <w:pPr>
              <w:spacing w:line="240" w:lineRule="auto"/>
              <w:jc w:val="both"/>
              <w:rPr>
                <w:rFonts w:cs="Times New Roman"/>
                <w:bCs/>
                <w:sz w:val="20"/>
                <w:szCs w:val="20"/>
                <w:lang w:val="en-US"/>
              </w:rPr>
            </w:pPr>
          </w:p>
        </w:tc>
        <w:tc>
          <w:tcPr>
            <w:tcW w:w="2952" w:type="dxa"/>
          </w:tcPr>
          <w:p w14:paraId="34FD1105" w14:textId="77777777" w:rsidR="007B56FF" w:rsidRPr="00480E02" w:rsidRDefault="007B56FF" w:rsidP="00F13CF2">
            <w:pPr>
              <w:spacing w:line="240" w:lineRule="auto"/>
              <w:jc w:val="both"/>
              <w:rPr>
                <w:rFonts w:cs="Times New Roman"/>
                <w:bCs/>
                <w:sz w:val="20"/>
                <w:szCs w:val="20"/>
                <w:lang w:val="en-US"/>
              </w:rPr>
            </w:pPr>
          </w:p>
        </w:tc>
      </w:tr>
      <w:tr w:rsidR="00480E02" w:rsidRPr="00480E02" w14:paraId="68D006E2" w14:textId="77777777" w:rsidTr="00F13CF2">
        <w:tc>
          <w:tcPr>
            <w:tcW w:w="2910" w:type="dxa"/>
          </w:tcPr>
          <w:p w14:paraId="6B8F81CA" w14:textId="4D73DE39"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ELISA</w:t>
            </w:r>
          </w:p>
          <w:p w14:paraId="7B731B50" w14:textId="77777777" w:rsidR="00E17818" w:rsidRPr="00480E02" w:rsidRDefault="00E17818" w:rsidP="00F13CF2">
            <w:pPr>
              <w:spacing w:line="240" w:lineRule="auto"/>
              <w:jc w:val="both"/>
              <w:rPr>
                <w:rFonts w:cs="Times New Roman"/>
                <w:sz w:val="20"/>
                <w:szCs w:val="20"/>
              </w:rPr>
            </w:pPr>
          </w:p>
        </w:tc>
        <w:tc>
          <w:tcPr>
            <w:tcW w:w="2925" w:type="dxa"/>
          </w:tcPr>
          <w:p w14:paraId="09EBD2DD"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Inexpensive equipment</w:t>
            </w:r>
          </w:p>
          <w:p w14:paraId="37051312"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High sensitivity</w:t>
            </w:r>
          </w:p>
          <w:p w14:paraId="58B96883"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Simultaneous analysis of multiple</w:t>
            </w:r>
          </w:p>
          <w:p w14:paraId="5BEB54A9"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samples</w:t>
            </w:r>
          </w:p>
          <w:p w14:paraId="6E1BC6E3"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Suitable for screening</w:t>
            </w:r>
          </w:p>
          <w:p w14:paraId="3AA9D718"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Limited use of organic solvents</w:t>
            </w:r>
          </w:p>
          <w:p w14:paraId="20AD8B76" w14:textId="77777777" w:rsidR="00E17818" w:rsidRPr="00480E02" w:rsidRDefault="00E17818" w:rsidP="00F13CF2">
            <w:pPr>
              <w:spacing w:line="240" w:lineRule="auto"/>
              <w:jc w:val="both"/>
              <w:rPr>
                <w:rFonts w:cs="Times New Roman"/>
                <w:sz w:val="20"/>
                <w:szCs w:val="20"/>
              </w:rPr>
            </w:pPr>
            <w:r w:rsidRPr="00480E02">
              <w:rPr>
                <w:rFonts w:cs="Times New Roman"/>
                <w:sz w:val="20"/>
                <w:szCs w:val="20"/>
                <w:lang w:val="en-US"/>
              </w:rPr>
              <w:t>Visual assessment</w:t>
            </w:r>
          </w:p>
        </w:tc>
        <w:tc>
          <w:tcPr>
            <w:tcW w:w="2952" w:type="dxa"/>
          </w:tcPr>
          <w:p w14:paraId="3CCBFC3E"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Cross-reactivity with related mycotoxins</w:t>
            </w:r>
          </w:p>
          <w:p w14:paraId="7898B036"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Matrix interference problems</w:t>
            </w:r>
          </w:p>
          <w:p w14:paraId="14ACF1B8"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Possible false positive/negative results</w:t>
            </w:r>
          </w:p>
          <w:p w14:paraId="49C1DB1D"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Confirmatory LC analysis required</w:t>
            </w:r>
          </w:p>
          <w:p w14:paraId="2CFFB503" w14:textId="77777777" w:rsidR="00E17818" w:rsidRPr="00480E02" w:rsidRDefault="00E17818" w:rsidP="00F13CF2">
            <w:pPr>
              <w:spacing w:line="240" w:lineRule="auto"/>
              <w:jc w:val="both"/>
              <w:rPr>
                <w:rFonts w:cs="Times New Roman"/>
                <w:sz w:val="20"/>
                <w:szCs w:val="20"/>
              </w:rPr>
            </w:pPr>
          </w:p>
        </w:tc>
      </w:tr>
      <w:tr w:rsidR="00480E02" w:rsidRPr="00480E02" w14:paraId="536B46E0" w14:textId="77777777" w:rsidTr="00F13CF2">
        <w:tc>
          <w:tcPr>
            <w:tcW w:w="2910" w:type="dxa"/>
          </w:tcPr>
          <w:p w14:paraId="0FA5014B"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 xml:space="preserve">Rapid Tests (membrane-based card test; antibody-coated tube; </w:t>
            </w:r>
            <w:proofErr w:type="spellStart"/>
            <w:r w:rsidRPr="00480E02">
              <w:rPr>
                <w:rFonts w:cs="Times New Roman"/>
                <w:sz w:val="20"/>
                <w:szCs w:val="20"/>
                <w:lang w:val="en-US"/>
              </w:rPr>
              <w:t>immunodot</w:t>
            </w:r>
            <w:proofErr w:type="spellEnd"/>
            <w:r w:rsidRPr="00480E02">
              <w:rPr>
                <w:rFonts w:cs="Times New Roman"/>
                <w:sz w:val="20"/>
                <w:szCs w:val="20"/>
                <w:lang w:val="en-US"/>
              </w:rPr>
              <w:t xml:space="preserve"> cup test)</w:t>
            </w:r>
          </w:p>
          <w:p w14:paraId="482F5105" w14:textId="77777777" w:rsidR="00E17818" w:rsidRPr="00480E02" w:rsidRDefault="00E17818" w:rsidP="00F13CF2">
            <w:pPr>
              <w:spacing w:line="240" w:lineRule="auto"/>
              <w:jc w:val="both"/>
              <w:rPr>
                <w:rFonts w:cs="Times New Roman"/>
                <w:sz w:val="20"/>
                <w:szCs w:val="20"/>
              </w:rPr>
            </w:pPr>
          </w:p>
        </w:tc>
        <w:tc>
          <w:tcPr>
            <w:tcW w:w="2925" w:type="dxa"/>
          </w:tcPr>
          <w:p w14:paraId="5A43FE30"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Simple and fast (5-10 min)</w:t>
            </w:r>
          </w:p>
          <w:p w14:paraId="7D7B5B50"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No expensive equipment required</w:t>
            </w:r>
          </w:p>
          <w:p w14:paraId="006B1124"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Limited use of organic solvents</w:t>
            </w:r>
          </w:p>
          <w:p w14:paraId="267D35F8"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Suitable for screening purposes</w:t>
            </w:r>
          </w:p>
          <w:p w14:paraId="2C8C4529"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 xml:space="preserve">Can be used </w:t>
            </w:r>
            <w:r w:rsidRPr="00480E02">
              <w:rPr>
                <w:rFonts w:cs="Times New Roman"/>
                <w:i/>
                <w:iCs/>
                <w:sz w:val="20"/>
                <w:szCs w:val="20"/>
                <w:lang w:val="en-US"/>
              </w:rPr>
              <w:t>in situ</w:t>
            </w:r>
          </w:p>
          <w:p w14:paraId="1C46019D" w14:textId="77777777" w:rsidR="00E17818" w:rsidRPr="00480E02" w:rsidRDefault="00E17818" w:rsidP="00F13CF2">
            <w:pPr>
              <w:spacing w:line="240" w:lineRule="auto"/>
              <w:jc w:val="both"/>
              <w:rPr>
                <w:rFonts w:cs="Times New Roman"/>
                <w:sz w:val="20"/>
                <w:szCs w:val="20"/>
              </w:rPr>
            </w:pPr>
          </w:p>
        </w:tc>
        <w:tc>
          <w:tcPr>
            <w:tcW w:w="2952" w:type="dxa"/>
          </w:tcPr>
          <w:p w14:paraId="44B89959"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Possible false positive/negative results</w:t>
            </w:r>
          </w:p>
          <w:p w14:paraId="78DFBB17"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Cross-reactivity with related mycotoxins</w:t>
            </w:r>
          </w:p>
          <w:p w14:paraId="3A195C17" w14:textId="77777777" w:rsidR="00E17818" w:rsidRPr="00480E02" w:rsidRDefault="00E17818" w:rsidP="00F13CF2">
            <w:pPr>
              <w:spacing w:line="240" w:lineRule="auto"/>
              <w:jc w:val="both"/>
              <w:rPr>
                <w:rFonts w:cs="Times New Roman"/>
                <w:sz w:val="20"/>
                <w:szCs w:val="20"/>
                <w:lang w:val="en-US"/>
              </w:rPr>
            </w:pPr>
            <w:r w:rsidRPr="00480E02">
              <w:rPr>
                <w:rFonts w:cs="Times New Roman"/>
                <w:sz w:val="20"/>
                <w:szCs w:val="20"/>
                <w:lang w:val="en-US"/>
              </w:rPr>
              <w:t>Matrix interference problems</w:t>
            </w:r>
          </w:p>
          <w:p w14:paraId="79EEA635" w14:textId="77777777" w:rsidR="00E17818" w:rsidRPr="00480E02" w:rsidRDefault="00E17818" w:rsidP="00F13CF2">
            <w:pPr>
              <w:spacing w:line="240" w:lineRule="auto"/>
              <w:jc w:val="both"/>
              <w:rPr>
                <w:rFonts w:cs="Times New Roman"/>
                <w:sz w:val="20"/>
                <w:szCs w:val="20"/>
              </w:rPr>
            </w:pPr>
          </w:p>
        </w:tc>
      </w:tr>
    </w:tbl>
    <w:bookmarkEnd w:id="17"/>
    <w:p w14:paraId="558AD085" w14:textId="77777777" w:rsidR="00E17818" w:rsidRPr="00480E02" w:rsidRDefault="00E17818" w:rsidP="00E17818">
      <w:pPr>
        <w:spacing w:before="0" w:after="0" w:line="240" w:lineRule="auto"/>
        <w:jc w:val="both"/>
        <w:rPr>
          <w:rFonts w:cs="Times New Roman"/>
          <w:sz w:val="20"/>
          <w:szCs w:val="20"/>
          <w:lang w:val="en-US"/>
        </w:rPr>
      </w:pPr>
      <w:r w:rsidRPr="00480E02">
        <w:rPr>
          <w:sz w:val="20"/>
          <w:szCs w:val="20"/>
        </w:rPr>
        <w:t xml:space="preserve"> Surface Plasmon Resonance (SPR); </w:t>
      </w:r>
      <w:proofErr w:type="spellStart"/>
      <w:r w:rsidRPr="00480E02">
        <w:rPr>
          <w:sz w:val="20"/>
          <w:szCs w:val="20"/>
        </w:rPr>
        <w:t>Fiber</w:t>
      </w:r>
      <w:proofErr w:type="spellEnd"/>
      <w:r w:rsidRPr="00480E02">
        <w:rPr>
          <w:sz w:val="20"/>
          <w:szCs w:val="20"/>
        </w:rPr>
        <w:t xml:space="preserve"> Optic </w:t>
      </w:r>
      <w:proofErr w:type="spellStart"/>
      <w:r w:rsidRPr="00480E02">
        <w:rPr>
          <w:sz w:val="20"/>
          <w:szCs w:val="20"/>
        </w:rPr>
        <w:t>Immunosensors</w:t>
      </w:r>
      <w:proofErr w:type="spellEnd"/>
      <w:r w:rsidRPr="00480E02">
        <w:rPr>
          <w:sz w:val="20"/>
          <w:szCs w:val="20"/>
        </w:rPr>
        <w:t xml:space="preserve"> (FOI); Quartz Crystal Microbalance (QCM); Screen-Printed Carbon Electrodes (SPCE); Molecularly Imprinted Polymer (MIP); Thin Layer Chromatography (TLC); Gas Chromatography (TLC); High Performance </w:t>
      </w:r>
      <w:r w:rsidRPr="00480E02">
        <w:rPr>
          <w:sz w:val="20"/>
          <w:szCs w:val="20"/>
          <w:lang w:val="en-US"/>
        </w:rPr>
        <w:t xml:space="preserve">Liquid Chromatography (HPLC); </w:t>
      </w:r>
      <w:r w:rsidRPr="00480E02">
        <w:rPr>
          <w:rFonts w:cs="Times New Roman"/>
          <w:sz w:val="20"/>
          <w:szCs w:val="20"/>
          <w:lang w:val="en-US"/>
        </w:rPr>
        <w:t>Liquid Chromatography/Mass Spectrometry (LC/MS); Enzyme-Linked Immunosorbent Assay (ELISA).</w:t>
      </w:r>
    </w:p>
    <w:p w14:paraId="71066F36" w14:textId="3504C0BE" w:rsidR="00E17818" w:rsidRPr="00480E02" w:rsidRDefault="00E17818" w:rsidP="00E74528">
      <w:pPr>
        <w:spacing w:before="0" w:after="0" w:line="240" w:lineRule="auto"/>
        <w:jc w:val="both"/>
        <w:rPr>
          <w:rFonts w:cs="Times New Roman"/>
          <w:szCs w:val="24"/>
        </w:rPr>
      </w:pPr>
      <w:r w:rsidRPr="00480E02">
        <w:rPr>
          <w:rFonts w:cs="Times New Roman"/>
          <w:sz w:val="20"/>
          <w:szCs w:val="20"/>
          <w:lang w:val="en-US"/>
        </w:rPr>
        <w:t xml:space="preserve">Reference: </w:t>
      </w:r>
      <w:r w:rsidRPr="00480E02">
        <w:rPr>
          <w:rFonts w:cs="Times New Roman"/>
          <w:sz w:val="20"/>
          <w:szCs w:val="20"/>
          <w:lang w:val="en-US"/>
        </w:rPr>
        <w:fldChar w:fldCharType="begin"/>
      </w:r>
      <w:r w:rsidRPr="00480E02">
        <w:rPr>
          <w:rFonts w:cs="Times New Roman"/>
          <w:sz w:val="20"/>
          <w:szCs w:val="20"/>
          <w:lang w:val="en-US"/>
        </w:rPr>
        <w:instrText xml:space="preserve"> ADDIN EN.CITE &lt;EndNote&gt;&lt;Cite AuthorYear="1"&gt;&lt;Author&gt;Pascale&lt;/Author&gt;&lt;Year&gt;2008&lt;/Year&gt;&lt;RecNum&gt;278&lt;/RecNum&gt;&lt;DisplayText&gt;Pascale and Visconti (2008)&lt;/DisplayText&gt;&lt;record&gt;&lt;rec-number&gt;278&lt;/rec-number&gt;&lt;foreign-keys&gt;&lt;key app="EN" db-id="drvxdz2aprzew7e0tf2p2xdp0we29f5txv2f" timestamp="1531513168"&gt;278&lt;/key&gt;&lt;/foreign-keys&gt;&lt;ref-type name="Book Section"&gt;5&lt;/ref-type&gt;&lt;contributors&gt;&lt;authors&gt;&lt;author&gt;Pascale, M&lt;/author&gt;&lt;author&gt;Visconti, Angelo&lt;/author&gt;&lt;/authors&gt;&lt;secondary-authors&gt;&lt;author&gt;Leslie, John F&lt;/author&gt;&lt;author&gt;Bandyopadhyay, Ranajit&lt;/author&gt;&lt;author&gt;Visconti, Angelo&lt;/author&gt;&lt;/secondary-authors&gt;&lt;/contributors&gt;&lt;titles&gt;&lt;title&gt;Overview of detection methods for mycotoxins&lt;/title&gt;&lt;secondary-title&gt;&lt;style face="italic" font="default" size="100%"&gt;Mycotoxins: detection methods, management, public health and agricultural trade&amp;#xD;&lt;/style&gt;&lt;/secondary-title&gt;&lt;/titles&gt;&lt;pages&gt;171‒183&lt;/pages&gt;&lt;dates&gt;&lt;year&gt;2008&lt;/year&gt;&lt;/dates&gt;&lt;publisher&gt;CABI&lt;/publisher&gt;&lt;isbn&gt;1845933842&lt;/isbn&gt;&lt;urls&gt;&lt;related-urls&gt;&lt;url&gt;http: //ebookcentral.proquest.com/lib/durban-ebooks&lt;/url&gt;&lt;/related-urls&gt;&lt;/urls&gt;&lt;access-date&gt;13 July 2018&lt;/access-date&gt;&lt;/record&gt;&lt;/Cite&gt;&lt;/EndNote&gt;</w:instrText>
      </w:r>
      <w:r w:rsidRPr="00480E02">
        <w:rPr>
          <w:rFonts w:cs="Times New Roman"/>
          <w:sz w:val="20"/>
          <w:szCs w:val="20"/>
          <w:lang w:val="en-US"/>
        </w:rPr>
        <w:fldChar w:fldCharType="separate"/>
      </w:r>
      <w:r w:rsidRPr="00480E02">
        <w:rPr>
          <w:rFonts w:cs="Times New Roman"/>
          <w:noProof/>
          <w:sz w:val="20"/>
          <w:szCs w:val="20"/>
          <w:lang w:val="en-US"/>
        </w:rPr>
        <w:t>Pascale and Visconti (2008)</w:t>
      </w:r>
      <w:r w:rsidRPr="00480E02">
        <w:rPr>
          <w:rFonts w:cs="Times New Roman"/>
          <w:sz w:val="20"/>
          <w:szCs w:val="20"/>
          <w:lang w:val="en-US"/>
        </w:rPr>
        <w:fldChar w:fldCharType="end"/>
      </w:r>
    </w:p>
    <w:p w14:paraId="61A772F7" w14:textId="505CFF32" w:rsidR="00E17818" w:rsidRPr="00480E02" w:rsidRDefault="00E17818" w:rsidP="003E1B7C">
      <w:pPr>
        <w:spacing w:line="360" w:lineRule="auto"/>
        <w:jc w:val="both"/>
        <w:rPr>
          <w:rFonts w:cs="Times New Roman"/>
          <w:szCs w:val="24"/>
        </w:rPr>
      </w:pPr>
    </w:p>
    <w:p w14:paraId="4332AF35" w14:textId="77777777" w:rsidR="003E1B7C" w:rsidRPr="00480E02" w:rsidRDefault="003E1B7C" w:rsidP="00C8005A">
      <w:pPr>
        <w:spacing w:line="360" w:lineRule="auto"/>
        <w:jc w:val="both"/>
        <w:rPr>
          <w:rFonts w:cs="Times New Roman"/>
          <w:szCs w:val="24"/>
        </w:rPr>
      </w:pPr>
    </w:p>
    <w:sectPr w:rsidR="003E1B7C" w:rsidRPr="00480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425"/>
    <w:multiLevelType w:val="hybridMultilevel"/>
    <w:tmpl w:val="527E0390"/>
    <w:lvl w:ilvl="0" w:tplc="E4A2DAEC">
      <w:start w:val="1"/>
      <w:numFmt w:val="bullet"/>
      <w:lvlText w:val="•"/>
      <w:lvlJc w:val="left"/>
      <w:pPr>
        <w:tabs>
          <w:tab w:val="num" w:pos="720"/>
        </w:tabs>
        <w:ind w:left="720" w:hanging="360"/>
      </w:pPr>
      <w:rPr>
        <w:rFonts w:ascii="Arial" w:hAnsi="Arial" w:hint="default"/>
      </w:rPr>
    </w:lvl>
    <w:lvl w:ilvl="1" w:tplc="4DEE2B2E" w:tentative="1">
      <w:start w:val="1"/>
      <w:numFmt w:val="bullet"/>
      <w:lvlText w:val="•"/>
      <w:lvlJc w:val="left"/>
      <w:pPr>
        <w:tabs>
          <w:tab w:val="num" w:pos="1440"/>
        </w:tabs>
        <w:ind w:left="1440" w:hanging="360"/>
      </w:pPr>
      <w:rPr>
        <w:rFonts w:ascii="Arial" w:hAnsi="Arial" w:hint="default"/>
      </w:rPr>
    </w:lvl>
    <w:lvl w:ilvl="2" w:tplc="EEA49BD6" w:tentative="1">
      <w:start w:val="1"/>
      <w:numFmt w:val="bullet"/>
      <w:lvlText w:val="•"/>
      <w:lvlJc w:val="left"/>
      <w:pPr>
        <w:tabs>
          <w:tab w:val="num" w:pos="2160"/>
        </w:tabs>
        <w:ind w:left="2160" w:hanging="360"/>
      </w:pPr>
      <w:rPr>
        <w:rFonts w:ascii="Arial" w:hAnsi="Arial" w:hint="default"/>
      </w:rPr>
    </w:lvl>
    <w:lvl w:ilvl="3" w:tplc="F5881680" w:tentative="1">
      <w:start w:val="1"/>
      <w:numFmt w:val="bullet"/>
      <w:lvlText w:val="•"/>
      <w:lvlJc w:val="left"/>
      <w:pPr>
        <w:tabs>
          <w:tab w:val="num" w:pos="2880"/>
        </w:tabs>
        <w:ind w:left="2880" w:hanging="360"/>
      </w:pPr>
      <w:rPr>
        <w:rFonts w:ascii="Arial" w:hAnsi="Arial" w:hint="default"/>
      </w:rPr>
    </w:lvl>
    <w:lvl w:ilvl="4" w:tplc="731EDB26" w:tentative="1">
      <w:start w:val="1"/>
      <w:numFmt w:val="bullet"/>
      <w:lvlText w:val="•"/>
      <w:lvlJc w:val="left"/>
      <w:pPr>
        <w:tabs>
          <w:tab w:val="num" w:pos="3600"/>
        </w:tabs>
        <w:ind w:left="3600" w:hanging="360"/>
      </w:pPr>
      <w:rPr>
        <w:rFonts w:ascii="Arial" w:hAnsi="Arial" w:hint="default"/>
      </w:rPr>
    </w:lvl>
    <w:lvl w:ilvl="5" w:tplc="FAB8047A" w:tentative="1">
      <w:start w:val="1"/>
      <w:numFmt w:val="bullet"/>
      <w:lvlText w:val="•"/>
      <w:lvlJc w:val="left"/>
      <w:pPr>
        <w:tabs>
          <w:tab w:val="num" w:pos="4320"/>
        </w:tabs>
        <w:ind w:left="4320" w:hanging="360"/>
      </w:pPr>
      <w:rPr>
        <w:rFonts w:ascii="Arial" w:hAnsi="Arial" w:hint="default"/>
      </w:rPr>
    </w:lvl>
    <w:lvl w:ilvl="6" w:tplc="3ED83932" w:tentative="1">
      <w:start w:val="1"/>
      <w:numFmt w:val="bullet"/>
      <w:lvlText w:val="•"/>
      <w:lvlJc w:val="left"/>
      <w:pPr>
        <w:tabs>
          <w:tab w:val="num" w:pos="5040"/>
        </w:tabs>
        <w:ind w:left="5040" w:hanging="360"/>
      </w:pPr>
      <w:rPr>
        <w:rFonts w:ascii="Arial" w:hAnsi="Arial" w:hint="default"/>
      </w:rPr>
    </w:lvl>
    <w:lvl w:ilvl="7" w:tplc="B5089AE6" w:tentative="1">
      <w:start w:val="1"/>
      <w:numFmt w:val="bullet"/>
      <w:lvlText w:val="•"/>
      <w:lvlJc w:val="left"/>
      <w:pPr>
        <w:tabs>
          <w:tab w:val="num" w:pos="5760"/>
        </w:tabs>
        <w:ind w:left="5760" w:hanging="360"/>
      </w:pPr>
      <w:rPr>
        <w:rFonts w:ascii="Arial" w:hAnsi="Arial" w:hint="default"/>
      </w:rPr>
    </w:lvl>
    <w:lvl w:ilvl="8" w:tplc="12663A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E4F59"/>
    <w:multiLevelType w:val="multilevel"/>
    <w:tmpl w:val="6174F7E2"/>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E27487"/>
    <w:multiLevelType w:val="multilevel"/>
    <w:tmpl w:val="F6549370"/>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FD30F8D"/>
    <w:multiLevelType w:val="multilevel"/>
    <w:tmpl w:val="DEE6A614"/>
    <w:lvl w:ilvl="0">
      <w:start w:val="1"/>
      <w:numFmt w:val="decimal"/>
      <w:lvlText w:val="%1.0"/>
      <w:lvlJc w:val="left"/>
      <w:pPr>
        <w:ind w:left="432" w:hanging="432"/>
      </w:pPr>
      <w:rPr>
        <w:rFonts w:hint="default"/>
      </w:rPr>
    </w:lvl>
    <w:lvl w:ilvl="1">
      <w:start w:val="1"/>
      <w:numFmt w:val="decimal"/>
      <w:lvlText w:val="%2.0"/>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8A64C0"/>
    <w:multiLevelType w:val="hybridMultilevel"/>
    <w:tmpl w:val="E6B8C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318E"/>
    <w:multiLevelType w:val="hybridMultilevel"/>
    <w:tmpl w:val="26A8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D2B90"/>
    <w:multiLevelType w:val="hybridMultilevel"/>
    <w:tmpl w:val="DDC21F76"/>
    <w:lvl w:ilvl="0" w:tplc="06FE989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63611"/>
    <w:multiLevelType w:val="multilevel"/>
    <w:tmpl w:val="F6549370"/>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E16456A"/>
    <w:multiLevelType w:val="multilevel"/>
    <w:tmpl w:val="379838A4"/>
    <w:lvl w:ilvl="0">
      <w:start w:val="1"/>
      <w:numFmt w:val="decimal"/>
      <w:lvlText w:val="%1.0"/>
      <w:lvlJc w:val="left"/>
      <w:pPr>
        <w:ind w:left="432" w:hanging="432"/>
      </w:pPr>
      <w:rPr>
        <w:rFonts w:hint="default"/>
      </w:rPr>
    </w:lvl>
    <w:lvl w:ilvl="1">
      <w:start w:val="1"/>
      <w:numFmt w:val="none"/>
      <w:lvlText w:val="2.0"/>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8D5180"/>
    <w:multiLevelType w:val="multilevel"/>
    <w:tmpl w:val="C9AA34FC"/>
    <w:lvl w:ilvl="0">
      <w:start w:val="1"/>
      <w:numFmt w:val="decimal"/>
      <w:lvlText w:val="%1.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AE0731A"/>
    <w:multiLevelType w:val="multilevel"/>
    <w:tmpl w:val="F6549370"/>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C5C5603"/>
    <w:multiLevelType w:val="hybridMultilevel"/>
    <w:tmpl w:val="F432B6A2"/>
    <w:lvl w:ilvl="0" w:tplc="FD2638FC">
      <w:start w:val="1"/>
      <w:numFmt w:val="bullet"/>
      <w:lvlText w:val="•"/>
      <w:lvlJc w:val="left"/>
      <w:pPr>
        <w:tabs>
          <w:tab w:val="num" w:pos="720"/>
        </w:tabs>
        <w:ind w:left="720" w:hanging="360"/>
      </w:pPr>
      <w:rPr>
        <w:rFonts w:ascii="Arial" w:hAnsi="Arial" w:hint="default"/>
      </w:rPr>
    </w:lvl>
    <w:lvl w:ilvl="1" w:tplc="9D50B512" w:tentative="1">
      <w:start w:val="1"/>
      <w:numFmt w:val="bullet"/>
      <w:lvlText w:val="•"/>
      <w:lvlJc w:val="left"/>
      <w:pPr>
        <w:tabs>
          <w:tab w:val="num" w:pos="1440"/>
        </w:tabs>
        <w:ind w:left="1440" w:hanging="360"/>
      </w:pPr>
      <w:rPr>
        <w:rFonts w:ascii="Arial" w:hAnsi="Arial" w:hint="default"/>
      </w:rPr>
    </w:lvl>
    <w:lvl w:ilvl="2" w:tplc="00341704" w:tentative="1">
      <w:start w:val="1"/>
      <w:numFmt w:val="bullet"/>
      <w:lvlText w:val="•"/>
      <w:lvlJc w:val="left"/>
      <w:pPr>
        <w:tabs>
          <w:tab w:val="num" w:pos="2160"/>
        </w:tabs>
        <w:ind w:left="2160" w:hanging="360"/>
      </w:pPr>
      <w:rPr>
        <w:rFonts w:ascii="Arial" w:hAnsi="Arial" w:hint="default"/>
      </w:rPr>
    </w:lvl>
    <w:lvl w:ilvl="3" w:tplc="44967D40" w:tentative="1">
      <w:start w:val="1"/>
      <w:numFmt w:val="bullet"/>
      <w:lvlText w:val="•"/>
      <w:lvlJc w:val="left"/>
      <w:pPr>
        <w:tabs>
          <w:tab w:val="num" w:pos="2880"/>
        </w:tabs>
        <w:ind w:left="2880" w:hanging="360"/>
      </w:pPr>
      <w:rPr>
        <w:rFonts w:ascii="Arial" w:hAnsi="Arial" w:hint="default"/>
      </w:rPr>
    </w:lvl>
    <w:lvl w:ilvl="4" w:tplc="8A94BED4" w:tentative="1">
      <w:start w:val="1"/>
      <w:numFmt w:val="bullet"/>
      <w:lvlText w:val="•"/>
      <w:lvlJc w:val="left"/>
      <w:pPr>
        <w:tabs>
          <w:tab w:val="num" w:pos="3600"/>
        </w:tabs>
        <w:ind w:left="3600" w:hanging="360"/>
      </w:pPr>
      <w:rPr>
        <w:rFonts w:ascii="Arial" w:hAnsi="Arial" w:hint="default"/>
      </w:rPr>
    </w:lvl>
    <w:lvl w:ilvl="5" w:tplc="52B09384" w:tentative="1">
      <w:start w:val="1"/>
      <w:numFmt w:val="bullet"/>
      <w:lvlText w:val="•"/>
      <w:lvlJc w:val="left"/>
      <w:pPr>
        <w:tabs>
          <w:tab w:val="num" w:pos="4320"/>
        </w:tabs>
        <w:ind w:left="4320" w:hanging="360"/>
      </w:pPr>
      <w:rPr>
        <w:rFonts w:ascii="Arial" w:hAnsi="Arial" w:hint="default"/>
      </w:rPr>
    </w:lvl>
    <w:lvl w:ilvl="6" w:tplc="9224E97C" w:tentative="1">
      <w:start w:val="1"/>
      <w:numFmt w:val="bullet"/>
      <w:lvlText w:val="•"/>
      <w:lvlJc w:val="left"/>
      <w:pPr>
        <w:tabs>
          <w:tab w:val="num" w:pos="5040"/>
        </w:tabs>
        <w:ind w:left="5040" w:hanging="360"/>
      </w:pPr>
      <w:rPr>
        <w:rFonts w:ascii="Arial" w:hAnsi="Arial" w:hint="default"/>
      </w:rPr>
    </w:lvl>
    <w:lvl w:ilvl="7" w:tplc="D844534E" w:tentative="1">
      <w:start w:val="1"/>
      <w:numFmt w:val="bullet"/>
      <w:lvlText w:val="•"/>
      <w:lvlJc w:val="left"/>
      <w:pPr>
        <w:tabs>
          <w:tab w:val="num" w:pos="5760"/>
        </w:tabs>
        <w:ind w:left="5760" w:hanging="360"/>
      </w:pPr>
      <w:rPr>
        <w:rFonts w:ascii="Arial" w:hAnsi="Arial" w:hint="default"/>
      </w:rPr>
    </w:lvl>
    <w:lvl w:ilvl="8" w:tplc="2C566B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C46C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3A5987"/>
    <w:multiLevelType w:val="hybridMultilevel"/>
    <w:tmpl w:val="C6D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51388"/>
    <w:multiLevelType w:val="multilevel"/>
    <w:tmpl w:val="F6549370"/>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3D0385"/>
    <w:multiLevelType w:val="multilevel"/>
    <w:tmpl w:val="F6549370"/>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17A7260"/>
    <w:multiLevelType w:val="multilevel"/>
    <w:tmpl w:val="F87C40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65363F7"/>
    <w:multiLevelType w:val="hybridMultilevel"/>
    <w:tmpl w:val="3820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C585E"/>
    <w:multiLevelType w:val="multilevel"/>
    <w:tmpl w:val="7806E9F0"/>
    <w:lvl w:ilvl="0">
      <w:start w:val="1"/>
      <w:numFmt w:val="decimal"/>
      <w:pStyle w:val="Heading1"/>
      <w:suff w:val="nothing"/>
      <w:lvlText w:val="%1"/>
      <w:lvlJc w:val="left"/>
      <w:pPr>
        <w:ind w:left="432" w:hanging="432"/>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92C37C4"/>
    <w:multiLevelType w:val="multilevel"/>
    <w:tmpl w:val="F6549370"/>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F482699"/>
    <w:multiLevelType w:val="multilevel"/>
    <w:tmpl w:val="F87C40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15C55A4"/>
    <w:multiLevelType w:val="hybridMultilevel"/>
    <w:tmpl w:val="2D80E2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E1E555E"/>
    <w:multiLevelType w:val="multilevel"/>
    <w:tmpl w:val="6174F7E2"/>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4"/>
  </w:num>
  <w:num w:numId="3">
    <w:abstractNumId w:val="10"/>
  </w:num>
  <w:num w:numId="4">
    <w:abstractNumId w:val="15"/>
  </w:num>
  <w:num w:numId="5">
    <w:abstractNumId w:val="22"/>
  </w:num>
  <w:num w:numId="6">
    <w:abstractNumId w:val="1"/>
  </w:num>
  <w:num w:numId="7">
    <w:abstractNumId w:val="9"/>
  </w:num>
  <w:num w:numId="8">
    <w:abstractNumId w:val="20"/>
  </w:num>
  <w:num w:numId="9">
    <w:abstractNumId w:val="18"/>
  </w:num>
  <w:num w:numId="10">
    <w:abstractNumId w:val="6"/>
  </w:num>
  <w:num w:numId="11">
    <w:abstractNumId w:val="7"/>
  </w:num>
  <w:num w:numId="12">
    <w:abstractNumId w:val="3"/>
  </w:num>
  <w:num w:numId="13">
    <w:abstractNumId w:val="2"/>
  </w:num>
  <w:num w:numId="14">
    <w:abstractNumId w:val="8"/>
  </w:num>
  <w:num w:numId="15">
    <w:abstractNumId w:val="12"/>
  </w:num>
  <w:num w:numId="16">
    <w:abstractNumId w:val="19"/>
  </w:num>
  <w:num w:numId="17">
    <w:abstractNumId w:val="4"/>
  </w:num>
  <w:num w:numId="18">
    <w:abstractNumId w:val="21"/>
  </w:num>
  <w:num w:numId="19">
    <w:abstractNumId w:val="17"/>
  </w:num>
  <w:num w:numId="20">
    <w:abstractNumId w:val="5"/>
  </w:num>
  <w:num w:numId="21">
    <w:abstractNumId w:val="13"/>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E2"/>
    <w:rsid w:val="00044CCC"/>
    <w:rsid w:val="0005261F"/>
    <w:rsid w:val="000C50FF"/>
    <w:rsid w:val="000F5375"/>
    <w:rsid w:val="001166E2"/>
    <w:rsid w:val="00154C47"/>
    <w:rsid w:val="001D7233"/>
    <w:rsid w:val="00215C3F"/>
    <w:rsid w:val="002600C5"/>
    <w:rsid w:val="00274F72"/>
    <w:rsid w:val="00300B6E"/>
    <w:rsid w:val="00385419"/>
    <w:rsid w:val="003D681C"/>
    <w:rsid w:val="003E1B7C"/>
    <w:rsid w:val="00445233"/>
    <w:rsid w:val="004573F8"/>
    <w:rsid w:val="00480E02"/>
    <w:rsid w:val="00502BA5"/>
    <w:rsid w:val="005352CA"/>
    <w:rsid w:val="0057596F"/>
    <w:rsid w:val="00596AE6"/>
    <w:rsid w:val="0063160E"/>
    <w:rsid w:val="006715C6"/>
    <w:rsid w:val="006924FD"/>
    <w:rsid w:val="006D167D"/>
    <w:rsid w:val="007349D5"/>
    <w:rsid w:val="00771F89"/>
    <w:rsid w:val="007762B3"/>
    <w:rsid w:val="007B56FF"/>
    <w:rsid w:val="008A626E"/>
    <w:rsid w:val="00980AB8"/>
    <w:rsid w:val="009B61D5"/>
    <w:rsid w:val="009C0D38"/>
    <w:rsid w:val="009E2113"/>
    <w:rsid w:val="00A14F66"/>
    <w:rsid w:val="00A70DCB"/>
    <w:rsid w:val="00AA7650"/>
    <w:rsid w:val="00B66F77"/>
    <w:rsid w:val="00C002EF"/>
    <w:rsid w:val="00C8005A"/>
    <w:rsid w:val="00C95597"/>
    <w:rsid w:val="00CD1A30"/>
    <w:rsid w:val="00D235D4"/>
    <w:rsid w:val="00D25D38"/>
    <w:rsid w:val="00E17818"/>
    <w:rsid w:val="00E36B2D"/>
    <w:rsid w:val="00E74528"/>
    <w:rsid w:val="00E8248D"/>
    <w:rsid w:val="00EA43B5"/>
    <w:rsid w:val="00ED5592"/>
    <w:rsid w:val="00F00062"/>
    <w:rsid w:val="00F212A2"/>
    <w:rsid w:val="00F36A69"/>
    <w:rsid w:val="00F6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70D5"/>
  <w15:chartTrackingRefBased/>
  <w15:docId w15:val="{FC68B8BC-92D8-44C8-BA97-FE15B96A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5A"/>
    <w:pPr>
      <w:spacing w:before="120" w:after="120" w:line="480" w:lineRule="auto"/>
      <w:contextualSpacing/>
    </w:pPr>
    <w:rPr>
      <w:rFonts w:ascii="Times New Roman" w:hAnsi="Times New Roman"/>
      <w:sz w:val="24"/>
      <w:lang w:val="en-ZA"/>
    </w:rPr>
  </w:style>
  <w:style w:type="paragraph" w:styleId="Heading1">
    <w:name w:val="heading 1"/>
    <w:basedOn w:val="Normal"/>
    <w:next w:val="Normal"/>
    <w:link w:val="Heading1Char"/>
    <w:uiPriority w:val="9"/>
    <w:qFormat/>
    <w:rsid w:val="00C8005A"/>
    <w:pPr>
      <w:keepNext/>
      <w:keepLines/>
      <w:pageBreakBefore/>
      <w:numPr>
        <w:numId w:val="9"/>
      </w:numPr>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C8005A"/>
    <w:pPr>
      <w:keepNext/>
      <w:keepLines/>
      <w:numPr>
        <w:ilvl w:val="1"/>
        <w:numId w:val="9"/>
      </w:num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8005A"/>
    <w:pPr>
      <w:keepNext/>
      <w:keepLines/>
      <w:numPr>
        <w:ilvl w:val="2"/>
        <w:numId w:val="9"/>
      </w:numP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8005A"/>
    <w:pPr>
      <w:keepNext/>
      <w:keepLines/>
      <w:numPr>
        <w:ilvl w:val="3"/>
        <w:numId w:val="9"/>
      </w:numPr>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C8005A"/>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8005A"/>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8005A"/>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8005A"/>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005A"/>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05A"/>
    <w:rPr>
      <w:rFonts w:ascii="Times New Roman" w:eastAsiaTheme="majorEastAsia" w:hAnsi="Times New Roman" w:cstheme="majorBidi"/>
      <w:b/>
      <w:caps/>
      <w:sz w:val="24"/>
      <w:szCs w:val="32"/>
      <w:lang w:val="en-ZA"/>
    </w:rPr>
  </w:style>
  <w:style w:type="character" w:customStyle="1" w:styleId="Heading2Char">
    <w:name w:val="Heading 2 Char"/>
    <w:basedOn w:val="DefaultParagraphFont"/>
    <w:link w:val="Heading2"/>
    <w:uiPriority w:val="9"/>
    <w:rsid w:val="00C8005A"/>
    <w:rPr>
      <w:rFonts w:ascii="Times New Roman" w:eastAsiaTheme="majorEastAsia" w:hAnsi="Times New Roman" w:cstheme="majorBidi"/>
      <w:b/>
      <w:sz w:val="24"/>
      <w:szCs w:val="26"/>
      <w:lang w:val="en-ZA"/>
    </w:rPr>
  </w:style>
  <w:style w:type="character" w:customStyle="1" w:styleId="Heading3Char">
    <w:name w:val="Heading 3 Char"/>
    <w:basedOn w:val="DefaultParagraphFont"/>
    <w:link w:val="Heading3"/>
    <w:uiPriority w:val="9"/>
    <w:rsid w:val="00C8005A"/>
    <w:rPr>
      <w:rFonts w:ascii="Times New Roman" w:eastAsiaTheme="majorEastAsia" w:hAnsi="Times New Roman" w:cstheme="majorBidi"/>
      <w:b/>
      <w:sz w:val="24"/>
      <w:szCs w:val="24"/>
      <w:lang w:val="en-ZA"/>
    </w:rPr>
  </w:style>
  <w:style w:type="character" w:customStyle="1" w:styleId="Heading4Char">
    <w:name w:val="Heading 4 Char"/>
    <w:basedOn w:val="DefaultParagraphFont"/>
    <w:link w:val="Heading4"/>
    <w:uiPriority w:val="9"/>
    <w:rsid w:val="00C8005A"/>
    <w:rPr>
      <w:rFonts w:ascii="Times New Roman" w:eastAsiaTheme="majorEastAsia" w:hAnsi="Times New Roman" w:cstheme="majorBidi"/>
      <w:b/>
      <w:iCs/>
      <w:sz w:val="24"/>
      <w:lang w:val="en-ZA"/>
    </w:rPr>
  </w:style>
  <w:style w:type="character" w:customStyle="1" w:styleId="Heading5Char">
    <w:name w:val="Heading 5 Char"/>
    <w:basedOn w:val="DefaultParagraphFont"/>
    <w:link w:val="Heading5"/>
    <w:uiPriority w:val="9"/>
    <w:semiHidden/>
    <w:rsid w:val="00C8005A"/>
    <w:rPr>
      <w:rFonts w:asciiTheme="majorHAnsi" w:eastAsiaTheme="majorEastAsia" w:hAnsiTheme="majorHAnsi" w:cstheme="majorBidi"/>
      <w:color w:val="2F5496" w:themeColor="accent1" w:themeShade="BF"/>
      <w:sz w:val="24"/>
      <w:lang w:val="en-ZA"/>
    </w:rPr>
  </w:style>
  <w:style w:type="character" w:customStyle="1" w:styleId="Heading6Char">
    <w:name w:val="Heading 6 Char"/>
    <w:basedOn w:val="DefaultParagraphFont"/>
    <w:link w:val="Heading6"/>
    <w:uiPriority w:val="9"/>
    <w:semiHidden/>
    <w:rsid w:val="00C8005A"/>
    <w:rPr>
      <w:rFonts w:asciiTheme="majorHAnsi" w:eastAsiaTheme="majorEastAsia" w:hAnsiTheme="majorHAnsi" w:cstheme="majorBidi"/>
      <w:color w:val="1F3763" w:themeColor="accent1" w:themeShade="7F"/>
      <w:sz w:val="24"/>
      <w:lang w:val="en-ZA"/>
    </w:rPr>
  </w:style>
  <w:style w:type="character" w:customStyle="1" w:styleId="Heading7Char">
    <w:name w:val="Heading 7 Char"/>
    <w:basedOn w:val="DefaultParagraphFont"/>
    <w:link w:val="Heading7"/>
    <w:uiPriority w:val="9"/>
    <w:semiHidden/>
    <w:rsid w:val="00C8005A"/>
    <w:rPr>
      <w:rFonts w:asciiTheme="majorHAnsi" w:eastAsiaTheme="majorEastAsia" w:hAnsiTheme="majorHAnsi" w:cstheme="majorBidi"/>
      <w:i/>
      <w:iCs/>
      <w:color w:val="1F3763" w:themeColor="accent1" w:themeShade="7F"/>
      <w:sz w:val="24"/>
      <w:lang w:val="en-ZA"/>
    </w:rPr>
  </w:style>
  <w:style w:type="character" w:customStyle="1" w:styleId="Heading8Char">
    <w:name w:val="Heading 8 Char"/>
    <w:basedOn w:val="DefaultParagraphFont"/>
    <w:link w:val="Heading8"/>
    <w:uiPriority w:val="9"/>
    <w:semiHidden/>
    <w:rsid w:val="00C8005A"/>
    <w:rPr>
      <w:rFonts w:asciiTheme="majorHAnsi" w:eastAsiaTheme="majorEastAsia" w:hAnsiTheme="majorHAnsi" w:cstheme="majorBidi"/>
      <w:color w:val="272727" w:themeColor="text1" w:themeTint="D8"/>
      <w:sz w:val="21"/>
      <w:szCs w:val="21"/>
      <w:lang w:val="en-ZA"/>
    </w:rPr>
  </w:style>
  <w:style w:type="character" w:customStyle="1" w:styleId="Heading9Char">
    <w:name w:val="Heading 9 Char"/>
    <w:basedOn w:val="DefaultParagraphFont"/>
    <w:link w:val="Heading9"/>
    <w:uiPriority w:val="9"/>
    <w:semiHidden/>
    <w:rsid w:val="00C8005A"/>
    <w:rPr>
      <w:rFonts w:asciiTheme="majorHAnsi" w:eastAsiaTheme="majorEastAsia" w:hAnsiTheme="majorHAnsi" w:cstheme="majorBidi"/>
      <w:i/>
      <w:iCs/>
      <w:color w:val="272727" w:themeColor="text1" w:themeTint="D8"/>
      <w:sz w:val="21"/>
      <w:szCs w:val="21"/>
      <w:lang w:val="en-ZA"/>
    </w:rPr>
  </w:style>
  <w:style w:type="paragraph" w:customStyle="1" w:styleId="EndNoteBibliographyTitle">
    <w:name w:val="EndNote Bibliography Title"/>
    <w:basedOn w:val="Normal"/>
    <w:link w:val="EndNoteBibliographyTitleChar"/>
    <w:rsid w:val="00C8005A"/>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C8005A"/>
    <w:rPr>
      <w:rFonts w:ascii="Times New Roman" w:hAnsi="Times New Roman" w:cs="Times New Roman"/>
      <w:noProof/>
      <w:sz w:val="24"/>
    </w:rPr>
  </w:style>
  <w:style w:type="paragraph" w:customStyle="1" w:styleId="EndNoteBibliography">
    <w:name w:val="EndNote Bibliography"/>
    <w:basedOn w:val="Normal"/>
    <w:link w:val="EndNoteBibliographyChar"/>
    <w:rsid w:val="00C8005A"/>
    <w:pPr>
      <w:spacing w:line="240" w:lineRule="auto"/>
      <w:jc w:val="both"/>
    </w:pPr>
    <w:rPr>
      <w:rFonts w:cs="Times New Roman"/>
      <w:noProof/>
      <w:lang w:val="en-US"/>
    </w:rPr>
  </w:style>
  <w:style w:type="character" w:customStyle="1" w:styleId="EndNoteBibliographyChar">
    <w:name w:val="EndNote Bibliography Char"/>
    <w:basedOn w:val="DefaultParagraphFont"/>
    <w:link w:val="EndNoteBibliography"/>
    <w:rsid w:val="00C8005A"/>
    <w:rPr>
      <w:rFonts w:ascii="Times New Roman" w:hAnsi="Times New Roman" w:cs="Times New Roman"/>
      <w:noProof/>
      <w:sz w:val="24"/>
    </w:rPr>
  </w:style>
  <w:style w:type="paragraph" w:styleId="Caption">
    <w:name w:val="caption"/>
    <w:basedOn w:val="Normal"/>
    <w:next w:val="Normal"/>
    <w:uiPriority w:val="35"/>
    <w:unhideWhenUsed/>
    <w:qFormat/>
    <w:rsid w:val="00C8005A"/>
    <w:pPr>
      <w:spacing w:before="0" w:after="200" w:line="240" w:lineRule="auto"/>
    </w:pPr>
    <w:rPr>
      <w:iCs/>
      <w:szCs w:val="18"/>
    </w:rPr>
  </w:style>
  <w:style w:type="table" w:styleId="TableGrid">
    <w:name w:val="Table Grid"/>
    <w:basedOn w:val="TableNormal"/>
    <w:uiPriority w:val="39"/>
    <w:rsid w:val="00C8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05A"/>
    <w:rPr>
      <w:color w:val="0563C1" w:themeColor="hyperlink"/>
      <w:u w:val="single"/>
    </w:rPr>
  </w:style>
  <w:style w:type="character" w:customStyle="1" w:styleId="UnresolvedMention">
    <w:name w:val="Unresolved Mention"/>
    <w:basedOn w:val="DefaultParagraphFont"/>
    <w:uiPriority w:val="99"/>
    <w:semiHidden/>
    <w:unhideWhenUsed/>
    <w:rsid w:val="00C8005A"/>
    <w:rPr>
      <w:color w:val="605E5C"/>
      <w:shd w:val="clear" w:color="auto" w:fill="E1DFDD"/>
    </w:rPr>
  </w:style>
  <w:style w:type="table" w:customStyle="1" w:styleId="TableGrid3">
    <w:name w:val="Table Grid3"/>
    <w:basedOn w:val="TableNormal"/>
    <w:next w:val="TableGrid"/>
    <w:uiPriority w:val="39"/>
    <w:rsid w:val="00C8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05A"/>
    <w:pPr>
      <w:spacing w:before="0" w:after="0" w:line="240" w:lineRule="auto"/>
      <w:ind w:left="720"/>
    </w:pPr>
    <w:rPr>
      <w:rFonts w:eastAsia="Times New Roman" w:cs="Times New Roman"/>
      <w:szCs w:val="24"/>
      <w:lang w:val="en-US"/>
    </w:rPr>
  </w:style>
  <w:style w:type="paragraph" w:styleId="Header">
    <w:name w:val="header"/>
    <w:basedOn w:val="Normal"/>
    <w:link w:val="HeaderChar"/>
    <w:uiPriority w:val="99"/>
    <w:unhideWhenUsed/>
    <w:rsid w:val="00C8005A"/>
    <w:pPr>
      <w:tabs>
        <w:tab w:val="center" w:pos="4680"/>
        <w:tab w:val="right" w:pos="9360"/>
      </w:tabs>
      <w:spacing w:before="0" w:after="0" w:line="240" w:lineRule="auto"/>
      <w:contextualSpacing w:val="0"/>
    </w:pPr>
    <w:rPr>
      <w:rFonts w:asciiTheme="minorHAnsi" w:hAnsiTheme="minorHAnsi"/>
      <w:sz w:val="22"/>
    </w:rPr>
  </w:style>
  <w:style w:type="character" w:customStyle="1" w:styleId="HeaderChar">
    <w:name w:val="Header Char"/>
    <w:basedOn w:val="DefaultParagraphFont"/>
    <w:link w:val="Header"/>
    <w:uiPriority w:val="99"/>
    <w:rsid w:val="00C8005A"/>
    <w:rPr>
      <w:lang w:val="en-ZA"/>
    </w:rPr>
  </w:style>
  <w:style w:type="paragraph" w:styleId="Footer">
    <w:name w:val="footer"/>
    <w:basedOn w:val="Normal"/>
    <w:link w:val="FooterChar"/>
    <w:uiPriority w:val="99"/>
    <w:unhideWhenUsed/>
    <w:rsid w:val="00C8005A"/>
    <w:pPr>
      <w:tabs>
        <w:tab w:val="center" w:pos="4680"/>
        <w:tab w:val="right" w:pos="9360"/>
      </w:tabs>
      <w:spacing w:before="0" w:after="0" w:line="240" w:lineRule="auto"/>
      <w:contextualSpacing w:val="0"/>
    </w:pPr>
    <w:rPr>
      <w:rFonts w:asciiTheme="minorHAnsi" w:hAnsiTheme="minorHAnsi"/>
      <w:sz w:val="22"/>
    </w:rPr>
  </w:style>
  <w:style w:type="character" w:customStyle="1" w:styleId="FooterChar">
    <w:name w:val="Footer Char"/>
    <w:basedOn w:val="DefaultParagraphFont"/>
    <w:link w:val="Footer"/>
    <w:uiPriority w:val="99"/>
    <w:rsid w:val="00C8005A"/>
    <w:rPr>
      <w:lang w:val="en-ZA"/>
    </w:rPr>
  </w:style>
  <w:style w:type="character" w:customStyle="1" w:styleId="FootnoteTextChar">
    <w:name w:val="Footnote Text Char"/>
    <w:basedOn w:val="DefaultParagraphFont"/>
    <w:link w:val="FootnoteText"/>
    <w:uiPriority w:val="99"/>
    <w:semiHidden/>
    <w:rsid w:val="00C8005A"/>
    <w:rPr>
      <w:sz w:val="20"/>
      <w:szCs w:val="20"/>
      <w:lang w:val="en-ZA"/>
    </w:rPr>
  </w:style>
  <w:style w:type="paragraph" w:styleId="FootnoteText">
    <w:name w:val="footnote text"/>
    <w:basedOn w:val="Normal"/>
    <w:link w:val="FootnoteTextChar"/>
    <w:uiPriority w:val="99"/>
    <w:semiHidden/>
    <w:unhideWhenUsed/>
    <w:rsid w:val="00C8005A"/>
    <w:pPr>
      <w:spacing w:before="0" w:after="0" w:line="240" w:lineRule="auto"/>
      <w:contextualSpacing w:val="0"/>
    </w:pPr>
    <w:rPr>
      <w:rFonts w:asciiTheme="minorHAnsi" w:hAnsiTheme="minorHAnsi"/>
      <w:sz w:val="20"/>
      <w:szCs w:val="20"/>
    </w:rPr>
  </w:style>
  <w:style w:type="character" w:customStyle="1" w:styleId="FootnoteTextChar1">
    <w:name w:val="Footnote Text Char1"/>
    <w:basedOn w:val="DefaultParagraphFont"/>
    <w:uiPriority w:val="99"/>
    <w:semiHidden/>
    <w:rsid w:val="00C8005A"/>
    <w:rPr>
      <w:rFonts w:ascii="Times New Roman" w:hAnsi="Times New Roman"/>
      <w:sz w:val="20"/>
      <w:szCs w:val="20"/>
      <w:lang w:val="en-ZA"/>
    </w:rPr>
  </w:style>
  <w:style w:type="paragraph" w:customStyle="1" w:styleId="EndNoteCategoryHeading">
    <w:name w:val="EndNote Category Heading"/>
    <w:basedOn w:val="Normal"/>
    <w:link w:val="EndNoteCategoryHeadingChar"/>
    <w:rsid w:val="00C8005A"/>
    <w:pPr>
      <w:spacing w:line="259" w:lineRule="auto"/>
      <w:contextualSpacing w:val="0"/>
    </w:pPr>
    <w:rPr>
      <w:rFonts w:asciiTheme="minorHAnsi" w:hAnsiTheme="minorHAnsi"/>
      <w:b/>
      <w:noProof/>
      <w:sz w:val="22"/>
      <w:lang w:val="en-US"/>
    </w:rPr>
  </w:style>
  <w:style w:type="character" w:customStyle="1" w:styleId="EndNoteCategoryHeadingChar">
    <w:name w:val="EndNote Category Heading Char"/>
    <w:basedOn w:val="DefaultParagraphFont"/>
    <w:link w:val="EndNoteCategoryHeading"/>
    <w:rsid w:val="00C8005A"/>
    <w:rPr>
      <w:b/>
      <w:noProof/>
    </w:rPr>
  </w:style>
  <w:style w:type="paragraph" w:styleId="HTMLPreformatted">
    <w:name w:val="HTML Preformatted"/>
    <w:basedOn w:val="Normal"/>
    <w:link w:val="HTMLPreformattedChar"/>
    <w:uiPriority w:val="99"/>
    <w:semiHidden/>
    <w:unhideWhenUsed/>
    <w:rsid w:val="00C8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8005A"/>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C8005A"/>
    <w:pPr>
      <w:pageBreakBefore w:val="0"/>
      <w:numPr>
        <w:numId w:val="0"/>
      </w:numPr>
      <w:spacing w:before="240" w:after="0" w:line="259" w:lineRule="auto"/>
      <w:contextualSpacing w:val="0"/>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C8005A"/>
    <w:pPr>
      <w:tabs>
        <w:tab w:val="right" w:leader="dot" w:pos="8777"/>
      </w:tabs>
      <w:spacing w:before="0" w:after="0" w:line="240" w:lineRule="auto"/>
      <w:jc w:val="both"/>
    </w:pPr>
  </w:style>
  <w:style w:type="paragraph" w:styleId="TOC2">
    <w:name w:val="toc 2"/>
    <w:basedOn w:val="Normal"/>
    <w:next w:val="Normal"/>
    <w:autoRedefine/>
    <w:uiPriority w:val="39"/>
    <w:unhideWhenUsed/>
    <w:rsid w:val="00C8005A"/>
    <w:pPr>
      <w:tabs>
        <w:tab w:val="left" w:pos="880"/>
        <w:tab w:val="right" w:leader="dot" w:pos="8777"/>
      </w:tabs>
      <w:spacing w:after="100"/>
      <w:ind w:left="240"/>
      <w:jc w:val="both"/>
    </w:pPr>
  </w:style>
  <w:style w:type="paragraph" w:styleId="TOC3">
    <w:name w:val="toc 3"/>
    <w:basedOn w:val="Normal"/>
    <w:next w:val="Normal"/>
    <w:autoRedefine/>
    <w:uiPriority w:val="39"/>
    <w:unhideWhenUsed/>
    <w:rsid w:val="00C8005A"/>
    <w:pPr>
      <w:tabs>
        <w:tab w:val="left" w:pos="1320"/>
        <w:tab w:val="right" w:leader="dot" w:pos="8777"/>
      </w:tabs>
      <w:spacing w:after="100"/>
      <w:ind w:left="480"/>
    </w:pPr>
  </w:style>
  <w:style w:type="paragraph" w:styleId="TableofFigures">
    <w:name w:val="table of figures"/>
    <w:basedOn w:val="Normal"/>
    <w:next w:val="Normal"/>
    <w:uiPriority w:val="99"/>
    <w:unhideWhenUsed/>
    <w:rsid w:val="00C8005A"/>
    <w:pPr>
      <w:spacing w:after="0"/>
    </w:pPr>
  </w:style>
  <w:style w:type="paragraph" w:styleId="BalloonText">
    <w:name w:val="Balloon Text"/>
    <w:basedOn w:val="Normal"/>
    <w:link w:val="BalloonTextChar"/>
    <w:uiPriority w:val="99"/>
    <w:semiHidden/>
    <w:unhideWhenUsed/>
    <w:rsid w:val="00A14F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F66"/>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13</Pages>
  <Words>4403</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dc:creator>
  <cp:keywords/>
  <dc:description/>
  <cp:lastModifiedBy>OMOTOLA</cp:lastModifiedBy>
  <cp:revision>21</cp:revision>
  <dcterms:created xsi:type="dcterms:W3CDTF">2019-01-28T08:38:00Z</dcterms:created>
  <dcterms:modified xsi:type="dcterms:W3CDTF">2020-04-04T12:31:00Z</dcterms:modified>
</cp:coreProperties>
</file>