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72" w:rsidRDefault="00457E72" w:rsidP="00790AEB">
      <w:pPr>
        <w:jc w:val="both"/>
        <w:rPr>
          <w:rFonts w:ascii="Times New Roman" w:hAnsi="Times New Roman" w:cs="Times New Roman"/>
          <w:sz w:val="24"/>
          <w:szCs w:val="24"/>
        </w:rPr>
      </w:pPr>
    </w:p>
    <w:p w:rsidR="00790AEB" w:rsidRPr="001D22AF" w:rsidRDefault="00874EF8" w:rsidP="001D22AF">
      <w:pPr>
        <w:ind w:left="720"/>
        <w:jc w:val="both"/>
        <w:rPr>
          <w:rFonts w:ascii="Times New Roman" w:hAnsi="Times New Roman" w:cs="Times New Roman"/>
          <w:b/>
          <w:sz w:val="24"/>
          <w:szCs w:val="24"/>
        </w:rPr>
      </w:pPr>
      <w:r>
        <w:rPr>
          <w:rFonts w:ascii="Times New Roman" w:hAnsi="Times New Roman" w:cs="Times New Roman"/>
          <w:b/>
          <w:sz w:val="24"/>
          <w:szCs w:val="24"/>
        </w:rPr>
        <w:t xml:space="preserve">1.0 </w:t>
      </w:r>
      <w:r w:rsidR="00EE643C">
        <w:rPr>
          <w:rFonts w:ascii="Times New Roman" w:hAnsi="Times New Roman" w:cs="Times New Roman"/>
          <w:b/>
          <w:sz w:val="24"/>
          <w:szCs w:val="24"/>
        </w:rPr>
        <w:t>Malicious</w:t>
      </w:r>
      <w:r w:rsidR="00EE643C" w:rsidRPr="001D22AF">
        <w:rPr>
          <w:rFonts w:ascii="Times New Roman" w:hAnsi="Times New Roman" w:cs="Times New Roman"/>
          <w:b/>
          <w:sz w:val="24"/>
          <w:szCs w:val="24"/>
        </w:rPr>
        <w:t xml:space="preserve"> Prosecution</w:t>
      </w:r>
    </w:p>
    <w:p w:rsidR="00790AEB" w:rsidRDefault="001D22AF" w:rsidP="00C7785B">
      <w:pPr>
        <w:spacing w:line="480" w:lineRule="auto"/>
        <w:jc w:val="both"/>
        <w:rPr>
          <w:rFonts w:ascii="Times New Roman" w:hAnsi="Times New Roman" w:cs="Times New Roman"/>
          <w:sz w:val="24"/>
          <w:szCs w:val="24"/>
        </w:rPr>
      </w:pPr>
      <w:r>
        <w:rPr>
          <w:rFonts w:ascii="Times New Roman" w:hAnsi="Times New Roman" w:cs="Times New Roman"/>
          <w:sz w:val="24"/>
          <w:szCs w:val="24"/>
        </w:rPr>
        <w:t>The tort of malicious prosecution</w:t>
      </w:r>
      <w:r w:rsidR="005B7F1C">
        <w:rPr>
          <w:rFonts w:ascii="Times New Roman" w:hAnsi="Times New Roman" w:cs="Times New Roman"/>
          <w:sz w:val="24"/>
          <w:szCs w:val="24"/>
        </w:rPr>
        <w:t xml:space="preserve"> which is a trespass to person</w:t>
      </w:r>
      <w:r>
        <w:rPr>
          <w:rFonts w:ascii="Times New Roman" w:hAnsi="Times New Roman" w:cs="Times New Roman"/>
          <w:sz w:val="24"/>
          <w:szCs w:val="24"/>
        </w:rPr>
        <w:t xml:space="preserve"> connotes the process of initiating </w:t>
      </w:r>
      <w:r w:rsidR="00265EA5">
        <w:rPr>
          <w:rFonts w:ascii="Times New Roman" w:hAnsi="Times New Roman" w:cs="Times New Roman"/>
          <w:sz w:val="24"/>
          <w:szCs w:val="24"/>
        </w:rPr>
        <w:t xml:space="preserve">criminal proceedings </w:t>
      </w:r>
      <w:r w:rsidR="00295DC1">
        <w:rPr>
          <w:rFonts w:ascii="Times New Roman" w:hAnsi="Times New Roman" w:cs="Times New Roman"/>
          <w:sz w:val="24"/>
          <w:szCs w:val="24"/>
        </w:rPr>
        <w:t xml:space="preserve">against </w:t>
      </w:r>
      <w:r w:rsidR="002B2E3A">
        <w:rPr>
          <w:rFonts w:ascii="Times New Roman" w:hAnsi="Times New Roman" w:cs="Times New Roman"/>
          <w:sz w:val="24"/>
          <w:szCs w:val="24"/>
        </w:rPr>
        <w:t>a person without any reasonable or just cause and such criminal proceedings ends in favour of the accused person</w:t>
      </w:r>
      <w:r w:rsidR="00C7785B">
        <w:rPr>
          <w:rFonts w:ascii="Times New Roman" w:hAnsi="Times New Roman" w:cs="Times New Roman"/>
          <w:sz w:val="24"/>
          <w:szCs w:val="24"/>
        </w:rPr>
        <w:t>.</w:t>
      </w:r>
    </w:p>
    <w:p w:rsidR="00C7785B" w:rsidRDefault="00C7785B" w:rsidP="00C778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type of tort </w:t>
      </w:r>
      <w:r w:rsidR="00202A01">
        <w:rPr>
          <w:rFonts w:ascii="Times New Roman" w:hAnsi="Times New Roman" w:cs="Times New Roman"/>
          <w:sz w:val="24"/>
          <w:szCs w:val="24"/>
        </w:rPr>
        <w:t xml:space="preserve">entails criminal proceedings </w:t>
      </w:r>
      <w:r w:rsidR="00237E06">
        <w:rPr>
          <w:rFonts w:ascii="Times New Roman" w:hAnsi="Times New Roman" w:cs="Times New Roman"/>
          <w:sz w:val="24"/>
          <w:szCs w:val="24"/>
        </w:rPr>
        <w:t xml:space="preserve">which is not aimed at bringing the accused to justice but for any improper reason without legal justification </w:t>
      </w:r>
      <w:r w:rsidR="00F83E81">
        <w:rPr>
          <w:rFonts w:ascii="Times New Roman" w:hAnsi="Times New Roman" w:cs="Times New Roman"/>
          <w:sz w:val="24"/>
          <w:szCs w:val="24"/>
        </w:rPr>
        <w:t xml:space="preserve">and which ends to favour the </w:t>
      </w:r>
      <w:r w:rsidR="00F247D3">
        <w:rPr>
          <w:rFonts w:ascii="Times New Roman" w:hAnsi="Times New Roman" w:cs="Times New Roman"/>
          <w:sz w:val="24"/>
          <w:szCs w:val="24"/>
        </w:rPr>
        <w:t>accused</w:t>
      </w:r>
      <w:r w:rsidR="00F83E81">
        <w:rPr>
          <w:rFonts w:ascii="Times New Roman" w:hAnsi="Times New Roman" w:cs="Times New Roman"/>
          <w:sz w:val="24"/>
          <w:szCs w:val="24"/>
        </w:rPr>
        <w:t xml:space="preserve"> person. </w:t>
      </w:r>
      <w:r w:rsidR="00202A01">
        <w:rPr>
          <w:rFonts w:ascii="Times New Roman" w:hAnsi="Times New Roman" w:cs="Times New Roman"/>
          <w:sz w:val="24"/>
          <w:szCs w:val="24"/>
        </w:rPr>
        <w:t xml:space="preserve">  </w:t>
      </w:r>
    </w:p>
    <w:p w:rsidR="00595AEE" w:rsidRDefault="00874EF8" w:rsidP="00C778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in simple term, the concept connotes using the legal process maliciously and wrongfully </w:t>
      </w:r>
      <w:r w:rsidR="001246AF">
        <w:rPr>
          <w:rFonts w:ascii="Times New Roman" w:hAnsi="Times New Roman" w:cs="Times New Roman"/>
          <w:sz w:val="24"/>
          <w:szCs w:val="24"/>
        </w:rPr>
        <w:t xml:space="preserve">which ends in favour of the </w:t>
      </w:r>
      <w:r w:rsidR="00595AEE">
        <w:rPr>
          <w:rFonts w:ascii="Times New Roman" w:hAnsi="Times New Roman" w:cs="Times New Roman"/>
          <w:sz w:val="24"/>
          <w:szCs w:val="24"/>
        </w:rPr>
        <w:t>accused person</w:t>
      </w:r>
      <w:r w:rsidR="001246AF">
        <w:rPr>
          <w:rFonts w:ascii="Times New Roman" w:hAnsi="Times New Roman" w:cs="Times New Roman"/>
          <w:sz w:val="24"/>
          <w:szCs w:val="24"/>
        </w:rPr>
        <w:t>.</w:t>
      </w:r>
    </w:p>
    <w:p w:rsidR="000904C7" w:rsidRPr="00EE643C" w:rsidRDefault="002E748F" w:rsidP="0037541D">
      <w:pPr>
        <w:pStyle w:val="ListParagraph"/>
        <w:numPr>
          <w:ilvl w:val="1"/>
          <w:numId w:val="1"/>
        </w:numPr>
        <w:spacing w:line="480" w:lineRule="auto"/>
        <w:jc w:val="both"/>
        <w:rPr>
          <w:rFonts w:ascii="Times New Roman" w:hAnsi="Times New Roman" w:cs="Times New Roman"/>
          <w:b/>
          <w:sz w:val="24"/>
          <w:szCs w:val="24"/>
        </w:rPr>
      </w:pPr>
      <w:r w:rsidRPr="00EE643C">
        <w:rPr>
          <w:rFonts w:ascii="Times New Roman" w:hAnsi="Times New Roman" w:cs="Times New Roman"/>
          <w:b/>
          <w:sz w:val="24"/>
          <w:szCs w:val="24"/>
        </w:rPr>
        <w:t xml:space="preserve">Rationale </w:t>
      </w:r>
      <w:r w:rsidR="0037541D" w:rsidRPr="00EE643C">
        <w:rPr>
          <w:rFonts w:ascii="Times New Roman" w:hAnsi="Times New Roman" w:cs="Times New Roman"/>
          <w:b/>
          <w:sz w:val="24"/>
          <w:szCs w:val="24"/>
        </w:rPr>
        <w:t>for the tort of Malicious Prosecution</w:t>
      </w:r>
    </w:p>
    <w:p w:rsidR="0037541D" w:rsidRDefault="003A3E55" w:rsidP="003754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rationale behind </w:t>
      </w:r>
      <w:r w:rsidR="00AB1C80">
        <w:rPr>
          <w:rFonts w:ascii="Times New Roman" w:hAnsi="Times New Roman" w:cs="Times New Roman"/>
          <w:sz w:val="24"/>
          <w:szCs w:val="24"/>
        </w:rPr>
        <w:t xml:space="preserve">the tort of </w:t>
      </w:r>
      <w:r w:rsidR="00FD1485">
        <w:rPr>
          <w:rFonts w:ascii="Times New Roman" w:hAnsi="Times New Roman" w:cs="Times New Roman"/>
          <w:sz w:val="24"/>
          <w:szCs w:val="24"/>
        </w:rPr>
        <w:t xml:space="preserve">malicious prosecution </w:t>
      </w:r>
      <w:r w:rsidR="00F55950">
        <w:rPr>
          <w:rFonts w:ascii="Times New Roman" w:hAnsi="Times New Roman" w:cs="Times New Roman"/>
          <w:sz w:val="24"/>
          <w:szCs w:val="24"/>
        </w:rPr>
        <w:t xml:space="preserve">is to prohibit </w:t>
      </w:r>
      <w:r w:rsidR="00A24028">
        <w:rPr>
          <w:rFonts w:ascii="Times New Roman" w:hAnsi="Times New Roman" w:cs="Times New Roman"/>
          <w:sz w:val="24"/>
          <w:szCs w:val="24"/>
        </w:rPr>
        <w:t xml:space="preserve">in whatever form </w:t>
      </w:r>
      <w:r w:rsidR="00D3168C">
        <w:rPr>
          <w:rFonts w:ascii="Times New Roman" w:hAnsi="Times New Roman" w:cs="Times New Roman"/>
          <w:sz w:val="24"/>
          <w:szCs w:val="24"/>
        </w:rPr>
        <w:t>unlawful prosecution</w:t>
      </w:r>
      <w:r w:rsidR="00133FF3">
        <w:rPr>
          <w:rFonts w:ascii="Times New Roman" w:hAnsi="Times New Roman" w:cs="Times New Roman"/>
          <w:sz w:val="24"/>
          <w:szCs w:val="24"/>
        </w:rPr>
        <w:t xml:space="preserve"> and seek to provide a remedy </w:t>
      </w:r>
      <w:r w:rsidR="008B7E28">
        <w:rPr>
          <w:rFonts w:ascii="Times New Roman" w:hAnsi="Times New Roman" w:cs="Times New Roman"/>
          <w:sz w:val="24"/>
          <w:szCs w:val="24"/>
        </w:rPr>
        <w:t xml:space="preserve">for </w:t>
      </w:r>
      <w:r w:rsidR="002C7C00">
        <w:rPr>
          <w:rFonts w:ascii="Times New Roman" w:hAnsi="Times New Roman" w:cs="Times New Roman"/>
          <w:sz w:val="24"/>
          <w:szCs w:val="24"/>
        </w:rPr>
        <w:t xml:space="preserve">a person </w:t>
      </w:r>
      <w:r w:rsidR="00975E72">
        <w:rPr>
          <w:rFonts w:ascii="Times New Roman" w:hAnsi="Times New Roman" w:cs="Times New Roman"/>
          <w:sz w:val="24"/>
          <w:szCs w:val="24"/>
        </w:rPr>
        <w:t>who has been unjustly prosecuted</w:t>
      </w:r>
      <w:r w:rsidR="00B34B31">
        <w:rPr>
          <w:rFonts w:ascii="Times New Roman" w:hAnsi="Times New Roman" w:cs="Times New Roman"/>
          <w:sz w:val="24"/>
          <w:szCs w:val="24"/>
        </w:rPr>
        <w:t xml:space="preserve">. </w:t>
      </w:r>
      <w:r w:rsidR="00E116CC">
        <w:rPr>
          <w:rFonts w:ascii="Times New Roman" w:hAnsi="Times New Roman" w:cs="Times New Roman"/>
          <w:sz w:val="24"/>
          <w:szCs w:val="24"/>
        </w:rPr>
        <w:t xml:space="preserve">The law in this type of tort seeks to create a balance between two opposing interest of encouraging people </w:t>
      </w:r>
      <w:r w:rsidR="00D8111C">
        <w:rPr>
          <w:rFonts w:ascii="Times New Roman" w:hAnsi="Times New Roman" w:cs="Times New Roman"/>
          <w:sz w:val="24"/>
          <w:szCs w:val="24"/>
        </w:rPr>
        <w:t>to assist in the prosecution</w:t>
      </w:r>
      <w:r w:rsidR="003F1BDD">
        <w:rPr>
          <w:rFonts w:ascii="Times New Roman" w:hAnsi="Times New Roman" w:cs="Times New Roman"/>
          <w:sz w:val="24"/>
          <w:szCs w:val="24"/>
        </w:rPr>
        <w:t xml:space="preserve"> of erring members of the society through the volunteering of information to the law enforcement agencies like the police.</w:t>
      </w:r>
      <w:r w:rsidR="00D8111C">
        <w:rPr>
          <w:rFonts w:ascii="Times New Roman" w:hAnsi="Times New Roman" w:cs="Times New Roman"/>
          <w:sz w:val="24"/>
          <w:szCs w:val="24"/>
        </w:rPr>
        <w:t xml:space="preserve"> </w:t>
      </w:r>
    </w:p>
    <w:p w:rsidR="006E38FF" w:rsidRDefault="003F1BDD" w:rsidP="003754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it is for the need to effectively protect and safeguard </w:t>
      </w:r>
      <w:proofErr w:type="gramStart"/>
      <w:r w:rsidR="008770D3">
        <w:rPr>
          <w:rFonts w:ascii="Times New Roman" w:hAnsi="Times New Roman" w:cs="Times New Roman"/>
          <w:sz w:val="24"/>
          <w:szCs w:val="24"/>
        </w:rPr>
        <w:t>persons</w:t>
      </w:r>
      <w:proofErr w:type="gramEnd"/>
      <w:r w:rsidR="008770D3">
        <w:rPr>
          <w:rFonts w:ascii="Times New Roman" w:hAnsi="Times New Roman" w:cs="Times New Roman"/>
          <w:sz w:val="24"/>
          <w:szCs w:val="24"/>
        </w:rPr>
        <w:t xml:space="preserve"> rights and prevent persons from being harassed by malicious</w:t>
      </w:r>
      <w:r w:rsidR="009A172C">
        <w:rPr>
          <w:rFonts w:ascii="Times New Roman" w:hAnsi="Times New Roman" w:cs="Times New Roman"/>
          <w:sz w:val="24"/>
          <w:szCs w:val="24"/>
        </w:rPr>
        <w:t>, wrongful and justifiable prosecution</w:t>
      </w:r>
      <w:r w:rsidR="00487045">
        <w:rPr>
          <w:rFonts w:ascii="Times New Roman" w:hAnsi="Times New Roman" w:cs="Times New Roman"/>
          <w:sz w:val="24"/>
          <w:szCs w:val="24"/>
        </w:rPr>
        <w:t>, on the other hand</w:t>
      </w:r>
      <w:r w:rsidR="006E38FF">
        <w:rPr>
          <w:rFonts w:ascii="Times New Roman" w:hAnsi="Times New Roman" w:cs="Times New Roman"/>
          <w:sz w:val="24"/>
          <w:szCs w:val="24"/>
        </w:rPr>
        <w:t>.</w:t>
      </w:r>
    </w:p>
    <w:p w:rsidR="00B91C54" w:rsidRPr="003429C6" w:rsidRDefault="00D52697" w:rsidP="00B91C54">
      <w:pPr>
        <w:pStyle w:val="ListParagraph"/>
        <w:numPr>
          <w:ilvl w:val="1"/>
          <w:numId w:val="1"/>
        </w:numPr>
        <w:spacing w:line="480" w:lineRule="auto"/>
        <w:jc w:val="both"/>
        <w:rPr>
          <w:rFonts w:ascii="Times New Roman" w:hAnsi="Times New Roman" w:cs="Times New Roman"/>
          <w:b/>
          <w:sz w:val="24"/>
          <w:szCs w:val="24"/>
        </w:rPr>
      </w:pPr>
      <w:r w:rsidRPr="003429C6">
        <w:rPr>
          <w:rFonts w:ascii="Times New Roman" w:hAnsi="Times New Roman" w:cs="Times New Roman"/>
          <w:b/>
          <w:sz w:val="24"/>
          <w:szCs w:val="24"/>
        </w:rPr>
        <w:t>Ingredients of Malicious Prosecution</w:t>
      </w:r>
    </w:p>
    <w:p w:rsidR="003F1BDD" w:rsidRDefault="00DE21CD" w:rsidP="00B91C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a plaintiff </w:t>
      </w:r>
      <w:r w:rsidR="004F64FF">
        <w:rPr>
          <w:rFonts w:ascii="Times New Roman" w:hAnsi="Times New Roman" w:cs="Times New Roman"/>
          <w:sz w:val="24"/>
          <w:szCs w:val="24"/>
        </w:rPr>
        <w:t>commences a suit</w:t>
      </w:r>
      <w:r w:rsidR="002319FD">
        <w:rPr>
          <w:rFonts w:ascii="Times New Roman" w:hAnsi="Times New Roman" w:cs="Times New Roman"/>
          <w:sz w:val="24"/>
          <w:szCs w:val="24"/>
        </w:rPr>
        <w:t xml:space="preserve"> </w:t>
      </w:r>
      <w:r w:rsidR="008E26C1">
        <w:rPr>
          <w:rFonts w:ascii="Times New Roman" w:hAnsi="Times New Roman" w:cs="Times New Roman"/>
          <w:sz w:val="24"/>
          <w:szCs w:val="24"/>
        </w:rPr>
        <w:t xml:space="preserve">alleging </w:t>
      </w:r>
      <w:r w:rsidR="004F64FF">
        <w:rPr>
          <w:rFonts w:ascii="Times New Roman" w:hAnsi="Times New Roman" w:cs="Times New Roman"/>
          <w:sz w:val="24"/>
          <w:szCs w:val="24"/>
        </w:rPr>
        <w:t xml:space="preserve">that an unjust prosecution was commenced against him by </w:t>
      </w:r>
      <w:r w:rsidR="00F55D47">
        <w:rPr>
          <w:rFonts w:ascii="Times New Roman" w:hAnsi="Times New Roman" w:cs="Times New Roman"/>
          <w:sz w:val="24"/>
          <w:szCs w:val="24"/>
        </w:rPr>
        <w:t xml:space="preserve">the </w:t>
      </w:r>
      <w:r w:rsidR="00F55D47" w:rsidRPr="00B91C54">
        <w:rPr>
          <w:rFonts w:ascii="Times New Roman" w:hAnsi="Times New Roman" w:cs="Times New Roman"/>
          <w:sz w:val="24"/>
          <w:szCs w:val="24"/>
        </w:rPr>
        <w:t>defendant</w:t>
      </w:r>
      <w:r w:rsidR="004F64FF">
        <w:rPr>
          <w:rFonts w:ascii="Times New Roman" w:hAnsi="Times New Roman" w:cs="Times New Roman"/>
          <w:sz w:val="24"/>
          <w:szCs w:val="24"/>
        </w:rPr>
        <w:t xml:space="preserve"> in an earlier action, </w:t>
      </w:r>
      <w:r w:rsidR="00CD1687">
        <w:rPr>
          <w:rFonts w:ascii="Times New Roman" w:hAnsi="Times New Roman" w:cs="Times New Roman"/>
          <w:sz w:val="24"/>
          <w:szCs w:val="24"/>
        </w:rPr>
        <w:t xml:space="preserve">the onus is on him to prove the four essential </w:t>
      </w:r>
      <w:r w:rsidR="00886FD1">
        <w:rPr>
          <w:rFonts w:ascii="Times New Roman" w:hAnsi="Times New Roman" w:cs="Times New Roman"/>
          <w:sz w:val="24"/>
          <w:szCs w:val="24"/>
        </w:rPr>
        <w:lastRenderedPageBreak/>
        <w:t xml:space="preserve">ingredients </w:t>
      </w:r>
      <w:r w:rsidR="007842E0">
        <w:rPr>
          <w:rFonts w:ascii="Times New Roman" w:hAnsi="Times New Roman" w:cs="Times New Roman"/>
          <w:sz w:val="24"/>
          <w:szCs w:val="24"/>
        </w:rPr>
        <w:t xml:space="preserve">which will make his claim succeed. </w:t>
      </w:r>
      <w:r w:rsidR="00463A66">
        <w:rPr>
          <w:rFonts w:ascii="Times New Roman" w:hAnsi="Times New Roman" w:cs="Times New Roman"/>
          <w:sz w:val="24"/>
          <w:szCs w:val="24"/>
        </w:rPr>
        <w:t>These ingredients were</w:t>
      </w:r>
      <w:r w:rsidR="007842E0">
        <w:rPr>
          <w:rFonts w:ascii="Times New Roman" w:hAnsi="Times New Roman" w:cs="Times New Roman"/>
          <w:sz w:val="24"/>
          <w:szCs w:val="24"/>
        </w:rPr>
        <w:t xml:space="preserve"> stated by the Supreme Court in the case of   </w:t>
      </w:r>
      <w:proofErr w:type="spellStart"/>
      <w:r w:rsidR="00F55D47" w:rsidRPr="00463A66">
        <w:rPr>
          <w:rFonts w:ascii="Times New Roman" w:hAnsi="Times New Roman" w:cs="Times New Roman"/>
          <w:b/>
          <w:i/>
          <w:sz w:val="24"/>
          <w:szCs w:val="24"/>
        </w:rPr>
        <w:t>Balogun</w:t>
      </w:r>
      <w:proofErr w:type="spellEnd"/>
      <w:r w:rsidR="0042218B" w:rsidRPr="00463A66">
        <w:rPr>
          <w:rFonts w:ascii="Times New Roman" w:hAnsi="Times New Roman" w:cs="Times New Roman"/>
          <w:b/>
          <w:i/>
          <w:sz w:val="24"/>
          <w:szCs w:val="24"/>
        </w:rPr>
        <w:t xml:space="preserve"> v </w:t>
      </w:r>
      <w:proofErr w:type="spellStart"/>
      <w:r w:rsidR="00741F01" w:rsidRPr="00463A66">
        <w:rPr>
          <w:rFonts w:ascii="Times New Roman" w:hAnsi="Times New Roman" w:cs="Times New Roman"/>
          <w:b/>
          <w:i/>
          <w:sz w:val="24"/>
          <w:szCs w:val="24"/>
        </w:rPr>
        <w:t>Amubikanhu</w:t>
      </w:r>
      <w:proofErr w:type="spellEnd"/>
      <w:r w:rsidR="00741F01">
        <w:rPr>
          <w:rStyle w:val="FootnoteReference"/>
          <w:rFonts w:ascii="Times New Roman" w:hAnsi="Times New Roman" w:cs="Times New Roman"/>
          <w:sz w:val="24"/>
          <w:szCs w:val="24"/>
        </w:rPr>
        <w:footnoteReference w:id="1"/>
      </w:r>
      <w:r w:rsidR="00443EC6">
        <w:rPr>
          <w:rFonts w:ascii="Times New Roman" w:hAnsi="Times New Roman" w:cs="Times New Roman"/>
          <w:sz w:val="24"/>
          <w:szCs w:val="24"/>
        </w:rPr>
        <w:t xml:space="preserve"> thus:</w:t>
      </w:r>
    </w:p>
    <w:p w:rsidR="00443EC6" w:rsidRDefault="00F67190" w:rsidP="00914D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w:t>
      </w:r>
      <w:r w:rsidR="00BB5854">
        <w:rPr>
          <w:rFonts w:ascii="Times New Roman" w:hAnsi="Times New Roman" w:cs="Times New Roman"/>
          <w:sz w:val="24"/>
          <w:szCs w:val="24"/>
        </w:rPr>
        <w:t xml:space="preserve">instigated </w:t>
      </w:r>
      <w:r w:rsidR="00114E67">
        <w:rPr>
          <w:rFonts w:ascii="Times New Roman" w:hAnsi="Times New Roman" w:cs="Times New Roman"/>
          <w:sz w:val="24"/>
          <w:szCs w:val="24"/>
        </w:rPr>
        <w:t xml:space="preserve">or initiated </w:t>
      </w:r>
      <w:r w:rsidR="00BA568E">
        <w:rPr>
          <w:rFonts w:ascii="Times New Roman" w:hAnsi="Times New Roman" w:cs="Times New Roman"/>
          <w:sz w:val="24"/>
          <w:szCs w:val="24"/>
        </w:rPr>
        <w:t xml:space="preserve">the </w:t>
      </w:r>
      <w:r w:rsidR="00463A66">
        <w:rPr>
          <w:rFonts w:ascii="Times New Roman" w:hAnsi="Times New Roman" w:cs="Times New Roman"/>
          <w:sz w:val="24"/>
          <w:szCs w:val="24"/>
        </w:rPr>
        <w:t>prosecution</w:t>
      </w:r>
      <w:r w:rsidR="00BA568E">
        <w:rPr>
          <w:rFonts w:ascii="Times New Roman" w:hAnsi="Times New Roman" w:cs="Times New Roman"/>
          <w:sz w:val="24"/>
          <w:szCs w:val="24"/>
        </w:rPr>
        <w:t xml:space="preserve"> against him.</w:t>
      </w:r>
    </w:p>
    <w:p w:rsidR="00463A66" w:rsidRDefault="00463A66" w:rsidP="00914D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D8226A">
        <w:rPr>
          <w:rFonts w:ascii="Times New Roman" w:hAnsi="Times New Roman" w:cs="Times New Roman"/>
          <w:sz w:val="24"/>
          <w:szCs w:val="24"/>
        </w:rPr>
        <w:t xml:space="preserve">the prosecution </w:t>
      </w:r>
      <w:r w:rsidR="004459A5">
        <w:rPr>
          <w:rFonts w:ascii="Times New Roman" w:hAnsi="Times New Roman" w:cs="Times New Roman"/>
          <w:sz w:val="24"/>
          <w:szCs w:val="24"/>
        </w:rPr>
        <w:t xml:space="preserve">terminated </w:t>
      </w:r>
      <w:r w:rsidR="00AD432C">
        <w:rPr>
          <w:rFonts w:ascii="Times New Roman" w:hAnsi="Times New Roman" w:cs="Times New Roman"/>
          <w:sz w:val="24"/>
          <w:szCs w:val="24"/>
        </w:rPr>
        <w:t xml:space="preserve">in the plaintiff’s </w:t>
      </w:r>
      <w:r w:rsidR="00801B60">
        <w:rPr>
          <w:rFonts w:ascii="Times New Roman" w:hAnsi="Times New Roman" w:cs="Times New Roman"/>
          <w:sz w:val="24"/>
          <w:szCs w:val="24"/>
        </w:rPr>
        <w:t>favour</w:t>
      </w:r>
    </w:p>
    <w:p w:rsidR="0078510D" w:rsidRDefault="0078510D" w:rsidP="00914D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had no reasonable </w:t>
      </w:r>
      <w:r w:rsidR="00494501">
        <w:rPr>
          <w:rFonts w:ascii="Times New Roman" w:hAnsi="Times New Roman" w:cs="Times New Roman"/>
          <w:sz w:val="24"/>
          <w:szCs w:val="24"/>
        </w:rPr>
        <w:t xml:space="preserve">and probable cause </w:t>
      </w:r>
      <w:r w:rsidR="002C0774">
        <w:rPr>
          <w:rFonts w:ascii="Times New Roman" w:hAnsi="Times New Roman" w:cs="Times New Roman"/>
          <w:sz w:val="24"/>
          <w:szCs w:val="24"/>
        </w:rPr>
        <w:t>for the prosecution</w:t>
      </w:r>
      <w:r w:rsidR="00135582">
        <w:rPr>
          <w:rFonts w:ascii="Times New Roman" w:hAnsi="Times New Roman" w:cs="Times New Roman"/>
          <w:sz w:val="24"/>
          <w:szCs w:val="24"/>
        </w:rPr>
        <w:t>; and</w:t>
      </w:r>
    </w:p>
    <w:p w:rsidR="00135582" w:rsidRDefault="00587F4B" w:rsidP="00914D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w:t>
      </w:r>
      <w:r w:rsidR="00AD40B0">
        <w:rPr>
          <w:rFonts w:ascii="Times New Roman" w:hAnsi="Times New Roman" w:cs="Times New Roman"/>
          <w:sz w:val="24"/>
          <w:szCs w:val="24"/>
        </w:rPr>
        <w:t>acted maliciously</w:t>
      </w:r>
    </w:p>
    <w:p w:rsidR="008F348B" w:rsidRDefault="00C57D00" w:rsidP="003429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very vital for the plaintiff to prove </w:t>
      </w:r>
      <w:r w:rsidR="005A35EF">
        <w:rPr>
          <w:rFonts w:ascii="Times New Roman" w:hAnsi="Times New Roman" w:cs="Times New Roman"/>
          <w:sz w:val="24"/>
          <w:szCs w:val="24"/>
        </w:rPr>
        <w:t xml:space="preserve">all these </w:t>
      </w:r>
      <w:r w:rsidR="00B61345">
        <w:rPr>
          <w:rFonts w:ascii="Times New Roman" w:hAnsi="Times New Roman" w:cs="Times New Roman"/>
          <w:sz w:val="24"/>
          <w:szCs w:val="24"/>
        </w:rPr>
        <w:t>ingredients</w:t>
      </w:r>
      <w:r w:rsidR="005A35EF">
        <w:rPr>
          <w:rFonts w:ascii="Times New Roman" w:hAnsi="Times New Roman" w:cs="Times New Roman"/>
          <w:sz w:val="24"/>
          <w:szCs w:val="24"/>
        </w:rPr>
        <w:t xml:space="preserve"> conjunctively to be able to succeed in his claim</w:t>
      </w:r>
      <w:r w:rsidR="0046055F">
        <w:rPr>
          <w:rFonts w:ascii="Times New Roman" w:hAnsi="Times New Roman" w:cs="Times New Roman"/>
          <w:sz w:val="24"/>
          <w:szCs w:val="24"/>
        </w:rPr>
        <w:t xml:space="preserve"> and thus </w:t>
      </w:r>
      <w:r w:rsidR="001F3C03">
        <w:rPr>
          <w:rFonts w:ascii="Times New Roman" w:hAnsi="Times New Roman" w:cs="Times New Roman"/>
          <w:sz w:val="24"/>
          <w:szCs w:val="24"/>
        </w:rPr>
        <w:t>this subsequent discourse will now focus on an elaborate explanation on these ingredients.</w:t>
      </w:r>
    </w:p>
    <w:p w:rsidR="00971050" w:rsidRPr="00962A96" w:rsidRDefault="00971050" w:rsidP="00971050">
      <w:pPr>
        <w:pStyle w:val="ListParagraph"/>
        <w:numPr>
          <w:ilvl w:val="0"/>
          <w:numId w:val="3"/>
        </w:numPr>
        <w:rPr>
          <w:rFonts w:ascii="Times New Roman" w:hAnsi="Times New Roman" w:cs="Times New Roman"/>
          <w:b/>
          <w:sz w:val="24"/>
          <w:szCs w:val="24"/>
        </w:rPr>
      </w:pPr>
      <w:r w:rsidRPr="00962A96">
        <w:rPr>
          <w:rFonts w:ascii="Times New Roman" w:hAnsi="Times New Roman" w:cs="Times New Roman"/>
          <w:b/>
          <w:sz w:val="24"/>
          <w:szCs w:val="24"/>
        </w:rPr>
        <w:t>That the defendant instigated or initia</w:t>
      </w:r>
      <w:r w:rsidR="00962A96">
        <w:rPr>
          <w:rFonts w:ascii="Times New Roman" w:hAnsi="Times New Roman" w:cs="Times New Roman"/>
          <w:b/>
          <w:sz w:val="24"/>
          <w:szCs w:val="24"/>
        </w:rPr>
        <w:t>ted the prosecution against him</w:t>
      </w:r>
    </w:p>
    <w:p w:rsidR="003429C6" w:rsidRDefault="00203B3C" w:rsidP="001A574E">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Th</w:t>
      </w:r>
      <w:r w:rsidR="007A7307">
        <w:rPr>
          <w:rFonts w:ascii="Times New Roman" w:hAnsi="Times New Roman" w:cs="Times New Roman"/>
          <w:sz w:val="24"/>
          <w:szCs w:val="24"/>
        </w:rPr>
        <w:t>is is the first ingredient which th</w:t>
      </w:r>
      <w:r>
        <w:rPr>
          <w:rFonts w:ascii="Times New Roman" w:hAnsi="Times New Roman" w:cs="Times New Roman"/>
          <w:sz w:val="24"/>
          <w:szCs w:val="24"/>
        </w:rPr>
        <w:t>e plaintiff must</w:t>
      </w:r>
      <w:r w:rsidR="007A7307">
        <w:rPr>
          <w:rFonts w:ascii="Times New Roman" w:hAnsi="Times New Roman" w:cs="Times New Roman"/>
          <w:sz w:val="24"/>
          <w:szCs w:val="24"/>
        </w:rPr>
        <w:t xml:space="preserve"> by</w:t>
      </w:r>
      <w:r>
        <w:rPr>
          <w:rFonts w:ascii="Times New Roman" w:hAnsi="Times New Roman" w:cs="Times New Roman"/>
          <w:sz w:val="24"/>
          <w:szCs w:val="24"/>
        </w:rPr>
        <w:t xml:space="preserve"> clear evidence prove</w:t>
      </w:r>
      <w:r w:rsidR="007A7307">
        <w:rPr>
          <w:rFonts w:ascii="Times New Roman" w:hAnsi="Times New Roman" w:cs="Times New Roman"/>
          <w:sz w:val="24"/>
          <w:szCs w:val="24"/>
        </w:rPr>
        <w:t xml:space="preserve"> and it must been shown</w:t>
      </w:r>
      <w:r>
        <w:rPr>
          <w:rFonts w:ascii="Times New Roman" w:hAnsi="Times New Roman" w:cs="Times New Roman"/>
          <w:sz w:val="24"/>
          <w:szCs w:val="24"/>
        </w:rPr>
        <w:t xml:space="preserve"> that </w:t>
      </w:r>
      <w:r w:rsidR="009836C9">
        <w:rPr>
          <w:rFonts w:ascii="Times New Roman" w:hAnsi="Times New Roman" w:cs="Times New Roman"/>
          <w:sz w:val="24"/>
          <w:szCs w:val="24"/>
        </w:rPr>
        <w:t>the defendant indeed set the law in motion against him alone</w:t>
      </w:r>
      <w:r w:rsidR="008A081A">
        <w:rPr>
          <w:rFonts w:ascii="Times New Roman" w:hAnsi="Times New Roman" w:cs="Times New Roman"/>
          <w:sz w:val="24"/>
          <w:szCs w:val="24"/>
        </w:rPr>
        <w:t xml:space="preserve">. </w:t>
      </w:r>
      <w:r w:rsidR="007A7307">
        <w:rPr>
          <w:rFonts w:ascii="Times New Roman" w:hAnsi="Times New Roman" w:cs="Times New Roman"/>
          <w:sz w:val="24"/>
          <w:szCs w:val="24"/>
        </w:rPr>
        <w:t xml:space="preserve">The plaintiff under this heading must clearly show that the defendant actively participated in such initiation. </w:t>
      </w:r>
      <w:r w:rsidR="001A574E">
        <w:rPr>
          <w:rFonts w:ascii="Times New Roman" w:hAnsi="Times New Roman" w:cs="Times New Roman"/>
          <w:sz w:val="24"/>
          <w:szCs w:val="24"/>
        </w:rPr>
        <w:t xml:space="preserve">In </w:t>
      </w:r>
      <w:proofErr w:type="spellStart"/>
      <w:r w:rsidR="001A574E" w:rsidRPr="0005685A">
        <w:rPr>
          <w:rFonts w:ascii="Times New Roman" w:hAnsi="Times New Roman" w:cs="Times New Roman"/>
          <w:b/>
          <w:i/>
          <w:sz w:val="24"/>
          <w:szCs w:val="24"/>
        </w:rPr>
        <w:t>Balogun</w:t>
      </w:r>
      <w:proofErr w:type="spellEnd"/>
      <w:r w:rsidR="0005685A" w:rsidRPr="0005685A">
        <w:rPr>
          <w:rFonts w:ascii="Times New Roman" w:hAnsi="Times New Roman" w:cs="Times New Roman"/>
          <w:b/>
          <w:i/>
          <w:sz w:val="24"/>
          <w:szCs w:val="24"/>
        </w:rPr>
        <w:t xml:space="preserve"> </w:t>
      </w:r>
      <w:r w:rsidR="001A574E" w:rsidRPr="0005685A">
        <w:rPr>
          <w:rFonts w:ascii="Times New Roman" w:hAnsi="Times New Roman" w:cs="Times New Roman"/>
          <w:b/>
          <w:i/>
          <w:sz w:val="24"/>
          <w:szCs w:val="24"/>
        </w:rPr>
        <w:t xml:space="preserve">v. </w:t>
      </w:r>
      <w:proofErr w:type="spellStart"/>
      <w:r w:rsidR="001A574E" w:rsidRPr="0005685A">
        <w:rPr>
          <w:rFonts w:ascii="Times New Roman" w:hAnsi="Times New Roman" w:cs="Times New Roman"/>
          <w:b/>
          <w:i/>
          <w:sz w:val="24"/>
          <w:szCs w:val="24"/>
        </w:rPr>
        <w:t>Amubikahun</w:t>
      </w:r>
      <w:proofErr w:type="spellEnd"/>
      <w:r w:rsidR="001A574E" w:rsidRPr="0005685A">
        <w:rPr>
          <w:rFonts w:ascii="Times New Roman" w:hAnsi="Times New Roman" w:cs="Times New Roman"/>
          <w:b/>
          <w:i/>
          <w:sz w:val="24"/>
          <w:szCs w:val="24"/>
        </w:rPr>
        <w:t>,</w:t>
      </w:r>
      <w:r w:rsidR="0005685A">
        <w:rPr>
          <w:rStyle w:val="FootnoteReference"/>
          <w:rFonts w:ascii="Times New Roman" w:hAnsi="Times New Roman" w:cs="Times New Roman"/>
          <w:sz w:val="24"/>
          <w:szCs w:val="24"/>
        </w:rPr>
        <w:footnoteReference w:id="2"/>
      </w:r>
      <w:r w:rsidR="001A574E" w:rsidRPr="001A574E">
        <w:rPr>
          <w:rFonts w:ascii="Times New Roman" w:hAnsi="Times New Roman" w:cs="Times New Roman"/>
          <w:sz w:val="24"/>
          <w:szCs w:val="24"/>
        </w:rPr>
        <w:t xml:space="preserve"> the Supreme Court held that to prosecute in this context means to set the law in</w:t>
      </w:r>
      <w:r w:rsidR="001A574E">
        <w:rPr>
          <w:rFonts w:ascii="Times New Roman" w:hAnsi="Times New Roman" w:cs="Times New Roman"/>
          <w:sz w:val="24"/>
          <w:szCs w:val="24"/>
        </w:rPr>
        <w:t xml:space="preserve"> </w:t>
      </w:r>
      <w:r w:rsidR="001A574E" w:rsidRPr="001A574E">
        <w:rPr>
          <w:rFonts w:ascii="Times New Roman" w:hAnsi="Times New Roman" w:cs="Times New Roman"/>
          <w:sz w:val="24"/>
          <w:szCs w:val="24"/>
        </w:rPr>
        <w:t>motion whereby an appeal is made by the defendant to some person with judicial authority in</w:t>
      </w:r>
      <w:r w:rsidR="001A574E">
        <w:rPr>
          <w:rFonts w:ascii="Times New Roman" w:hAnsi="Times New Roman" w:cs="Times New Roman"/>
          <w:sz w:val="24"/>
          <w:szCs w:val="24"/>
        </w:rPr>
        <w:t xml:space="preserve"> </w:t>
      </w:r>
      <w:r w:rsidR="001A574E" w:rsidRPr="001A574E">
        <w:rPr>
          <w:rFonts w:ascii="Times New Roman" w:hAnsi="Times New Roman" w:cs="Times New Roman"/>
          <w:sz w:val="24"/>
          <w:szCs w:val="24"/>
        </w:rPr>
        <w:t>regard to the matter in question. Thus, merely reporti</w:t>
      </w:r>
      <w:r w:rsidR="001A574E">
        <w:rPr>
          <w:rFonts w:ascii="Times New Roman" w:hAnsi="Times New Roman" w:cs="Times New Roman"/>
          <w:sz w:val="24"/>
          <w:szCs w:val="24"/>
        </w:rPr>
        <w:t xml:space="preserve">ng a matter to the authority is </w:t>
      </w:r>
      <w:r w:rsidR="001A574E" w:rsidRPr="001A574E">
        <w:rPr>
          <w:rFonts w:ascii="Times New Roman" w:hAnsi="Times New Roman" w:cs="Times New Roman"/>
          <w:sz w:val="24"/>
          <w:szCs w:val="24"/>
        </w:rPr>
        <w:t>not enough</w:t>
      </w:r>
      <w:r w:rsidR="00147CC8">
        <w:rPr>
          <w:rFonts w:ascii="Times New Roman" w:hAnsi="Times New Roman" w:cs="Times New Roman"/>
          <w:sz w:val="24"/>
          <w:szCs w:val="24"/>
        </w:rPr>
        <w:t xml:space="preserve"> </w:t>
      </w:r>
      <w:r w:rsidR="00164D7E" w:rsidRPr="00164D7E">
        <w:rPr>
          <w:rFonts w:ascii="Times New Roman" w:hAnsi="Times New Roman" w:cs="Times New Roman"/>
          <w:sz w:val="24"/>
          <w:szCs w:val="24"/>
        </w:rPr>
        <w:t>except the defendant knowingly makes a false accusation to the police or a judicial officer with</w:t>
      </w:r>
      <w:r w:rsidR="00133EBB">
        <w:rPr>
          <w:rFonts w:ascii="Times New Roman" w:hAnsi="Times New Roman" w:cs="Times New Roman"/>
          <w:sz w:val="24"/>
          <w:szCs w:val="24"/>
        </w:rPr>
        <w:t xml:space="preserve"> </w:t>
      </w:r>
      <w:r w:rsidR="00164D7E" w:rsidRPr="00164D7E">
        <w:rPr>
          <w:rFonts w:ascii="Times New Roman" w:hAnsi="Times New Roman" w:cs="Times New Roman"/>
          <w:sz w:val="24"/>
          <w:szCs w:val="24"/>
        </w:rPr>
        <w:t>the result that an innocent man is sent for trial</w:t>
      </w:r>
      <w:r w:rsidR="00164D7E">
        <w:rPr>
          <w:rFonts w:ascii="Times New Roman" w:hAnsi="Times New Roman" w:cs="Times New Roman"/>
          <w:sz w:val="24"/>
          <w:szCs w:val="24"/>
        </w:rPr>
        <w:t>.</w:t>
      </w:r>
    </w:p>
    <w:p w:rsidR="00AA5040" w:rsidRDefault="00AA5040" w:rsidP="001A574E">
      <w:pPr>
        <w:spacing w:line="480" w:lineRule="auto"/>
        <w:ind w:left="60"/>
        <w:jc w:val="both"/>
        <w:rPr>
          <w:rFonts w:ascii="Times New Roman" w:hAnsi="Times New Roman" w:cs="Times New Roman"/>
          <w:sz w:val="24"/>
          <w:szCs w:val="24"/>
        </w:rPr>
      </w:pPr>
      <w:r w:rsidRPr="00AA5040">
        <w:rPr>
          <w:rFonts w:ascii="Times New Roman" w:hAnsi="Times New Roman" w:cs="Times New Roman"/>
          <w:sz w:val="24"/>
          <w:szCs w:val="24"/>
        </w:rPr>
        <w:t xml:space="preserve">In </w:t>
      </w:r>
      <w:proofErr w:type="spellStart"/>
      <w:r w:rsidRPr="00AA5040">
        <w:rPr>
          <w:rFonts w:ascii="Times New Roman" w:hAnsi="Times New Roman" w:cs="Times New Roman"/>
          <w:b/>
          <w:i/>
          <w:sz w:val="24"/>
          <w:szCs w:val="24"/>
        </w:rPr>
        <w:t>Inneh</w:t>
      </w:r>
      <w:proofErr w:type="spellEnd"/>
      <w:r w:rsidRPr="00AA5040">
        <w:rPr>
          <w:rFonts w:ascii="Times New Roman" w:hAnsi="Times New Roman" w:cs="Times New Roman"/>
          <w:b/>
          <w:i/>
          <w:sz w:val="24"/>
          <w:szCs w:val="24"/>
        </w:rPr>
        <w:t xml:space="preserve"> V. </w:t>
      </w:r>
      <w:proofErr w:type="spellStart"/>
      <w:r w:rsidRPr="00AA5040">
        <w:rPr>
          <w:rFonts w:ascii="Times New Roman" w:hAnsi="Times New Roman" w:cs="Times New Roman"/>
          <w:b/>
          <w:i/>
          <w:sz w:val="24"/>
          <w:szCs w:val="24"/>
        </w:rPr>
        <w:t>Aruegbon</w:t>
      </w:r>
      <w:proofErr w:type="spellEnd"/>
      <w:r w:rsidRPr="00AA5040">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AA5040">
        <w:rPr>
          <w:rFonts w:ascii="Times New Roman" w:hAnsi="Times New Roman" w:cs="Times New Roman"/>
          <w:sz w:val="24"/>
          <w:szCs w:val="24"/>
        </w:rPr>
        <w:t xml:space="preserve"> the defendant in this case made a report to the police that the plaintiff had stolen some goods from his home and laid information before a magistrate. The charge was </w:t>
      </w:r>
      <w:r w:rsidRPr="00AA5040">
        <w:rPr>
          <w:rFonts w:ascii="Times New Roman" w:hAnsi="Times New Roman" w:cs="Times New Roman"/>
          <w:sz w:val="24"/>
          <w:szCs w:val="24"/>
        </w:rPr>
        <w:lastRenderedPageBreak/>
        <w:t>trumped as a means to get the plaintiff to Benin and serve her with summons for adultery. She succeeded in an action for malicious prosecution. In this case it can be seen to be a clear demonstration of the first instance of the general rule, for the defendant made a complaint to the police that the plaintiff be prosecuted for an offence and based on that the magistrate issued summons.</w:t>
      </w:r>
    </w:p>
    <w:p w:rsidR="00780EAD" w:rsidRPr="00780EAD" w:rsidRDefault="00780EAD" w:rsidP="00780EAD">
      <w:pPr>
        <w:spacing w:line="480" w:lineRule="auto"/>
        <w:ind w:left="60"/>
        <w:jc w:val="both"/>
        <w:rPr>
          <w:rFonts w:ascii="Times New Roman" w:hAnsi="Times New Roman" w:cs="Times New Roman"/>
          <w:sz w:val="24"/>
          <w:szCs w:val="24"/>
        </w:rPr>
      </w:pPr>
      <w:r w:rsidRPr="00780EAD">
        <w:rPr>
          <w:rFonts w:ascii="Times New Roman" w:hAnsi="Times New Roman" w:cs="Times New Roman"/>
          <w:sz w:val="24"/>
          <w:szCs w:val="24"/>
        </w:rPr>
        <w:t xml:space="preserve">Similarly in the case of </w:t>
      </w:r>
      <w:proofErr w:type="spellStart"/>
      <w:r w:rsidR="0088294B" w:rsidRPr="0088294B">
        <w:rPr>
          <w:rFonts w:ascii="Times New Roman" w:hAnsi="Times New Roman" w:cs="Times New Roman"/>
          <w:b/>
          <w:i/>
          <w:sz w:val="24"/>
          <w:szCs w:val="24"/>
        </w:rPr>
        <w:t>Ogbonna</w:t>
      </w:r>
      <w:proofErr w:type="spellEnd"/>
      <w:r w:rsidR="0088294B" w:rsidRPr="0088294B">
        <w:rPr>
          <w:rFonts w:ascii="Times New Roman" w:hAnsi="Times New Roman" w:cs="Times New Roman"/>
          <w:b/>
          <w:i/>
          <w:sz w:val="24"/>
          <w:szCs w:val="24"/>
        </w:rPr>
        <w:t xml:space="preserve"> V. </w:t>
      </w:r>
      <w:proofErr w:type="spellStart"/>
      <w:r w:rsidR="0088294B" w:rsidRPr="0088294B">
        <w:rPr>
          <w:rFonts w:ascii="Times New Roman" w:hAnsi="Times New Roman" w:cs="Times New Roman"/>
          <w:b/>
          <w:i/>
          <w:sz w:val="24"/>
          <w:szCs w:val="24"/>
        </w:rPr>
        <w:t>Ogbonna</w:t>
      </w:r>
      <w:proofErr w:type="spellEnd"/>
      <w:r w:rsidR="0088294B" w:rsidRPr="00780EAD">
        <w:rPr>
          <w:rFonts w:ascii="Times New Roman" w:hAnsi="Times New Roman" w:cs="Times New Roman"/>
          <w:sz w:val="24"/>
          <w:szCs w:val="24"/>
        </w:rPr>
        <w:t xml:space="preserve"> </w:t>
      </w:r>
      <w:r w:rsidR="0088294B" w:rsidRPr="0088294B">
        <w:rPr>
          <w:rFonts w:ascii="Times New Roman" w:hAnsi="Times New Roman" w:cs="Times New Roman"/>
          <w:b/>
          <w:i/>
          <w:sz w:val="24"/>
          <w:szCs w:val="24"/>
        </w:rPr>
        <w:t xml:space="preserve">&amp; </w:t>
      </w:r>
      <w:proofErr w:type="spellStart"/>
      <w:r w:rsidR="0088294B" w:rsidRPr="0088294B">
        <w:rPr>
          <w:rFonts w:ascii="Times New Roman" w:hAnsi="Times New Roman" w:cs="Times New Roman"/>
          <w:b/>
          <w:i/>
          <w:sz w:val="24"/>
          <w:szCs w:val="24"/>
        </w:rPr>
        <w:t>Anor</w:t>
      </w:r>
      <w:proofErr w:type="spellEnd"/>
      <w:r w:rsidR="0088294B">
        <w:rPr>
          <w:rStyle w:val="FootnoteReference"/>
          <w:rFonts w:ascii="Times New Roman" w:hAnsi="Times New Roman" w:cs="Times New Roman"/>
          <w:b/>
          <w:i/>
          <w:sz w:val="24"/>
          <w:szCs w:val="24"/>
        </w:rPr>
        <w:footnoteReference w:id="4"/>
      </w:r>
      <w:r w:rsidR="0088294B" w:rsidRPr="00780EAD">
        <w:rPr>
          <w:rFonts w:ascii="Times New Roman" w:hAnsi="Times New Roman" w:cs="Times New Roman"/>
          <w:sz w:val="24"/>
          <w:szCs w:val="24"/>
        </w:rPr>
        <w:t xml:space="preserve"> </w:t>
      </w:r>
      <w:r w:rsidRPr="00780EAD">
        <w:rPr>
          <w:rFonts w:ascii="Times New Roman" w:hAnsi="Times New Roman" w:cs="Times New Roman"/>
          <w:sz w:val="24"/>
          <w:szCs w:val="24"/>
        </w:rPr>
        <w:t xml:space="preserve">(Supra), the appellant reported to the police that the respondent threatened to kill him and the police arrested the respondent. The appellant t and respondent are both members of the same family, they shared the same father. Evidence was lead to show that the respondent at the station stated that he does not want the police to press </w:t>
      </w:r>
      <w:r w:rsidR="00E90F77" w:rsidRPr="00780EAD">
        <w:rPr>
          <w:rFonts w:ascii="Times New Roman" w:hAnsi="Times New Roman" w:cs="Times New Roman"/>
          <w:sz w:val="24"/>
          <w:szCs w:val="24"/>
        </w:rPr>
        <w:t>charges</w:t>
      </w:r>
      <w:r w:rsidRPr="00780EAD">
        <w:rPr>
          <w:rFonts w:ascii="Times New Roman" w:hAnsi="Times New Roman" w:cs="Times New Roman"/>
          <w:sz w:val="24"/>
          <w:szCs w:val="24"/>
        </w:rPr>
        <w:t xml:space="preserve"> that he just wanted to teach the respondent and his mother a lesson. The judgment of the lower court was upheld and the appellant was held liable.</w:t>
      </w:r>
    </w:p>
    <w:p w:rsidR="00780EAD" w:rsidRDefault="00780EAD" w:rsidP="00780EAD">
      <w:pPr>
        <w:spacing w:line="480" w:lineRule="auto"/>
        <w:ind w:left="60"/>
        <w:jc w:val="both"/>
        <w:rPr>
          <w:rFonts w:ascii="Times New Roman" w:hAnsi="Times New Roman" w:cs="Times New Roman"/>
          <w:sz w:val="24"/>
          <w:szCs w:val="24"/>
        </w:rPr>
      </w:pPr>
      <w:r w:rsidRPr="00780EAD">
        <w:rPr>
          <w:rFonts w:ascii="Times New Roman" w:hAnsi="Times New Roman" w:cs="Times New Roman"/>
          <w:sz w:val="24"/>
          <w:szCs w:val="24"/>
        </w:rPr>
        <w:t xml:space="preserve">On where the defendant merely gives information of certain facts to the </w:t>
      </w:r>
      <w:r w:rsidR="00A76F5C">
        <w:rPr>
          <w:rFonts w:ascii="Times New Roman" w:hAnsi="Times New Roman" w:cs="Times New Roman"/>
          <w:sz w:val="24"/>
          <w:szCs w:val="24"/>
        </w:rPr>
        <w:t>p</w:t>
      </w:r>
      <w:r w:rsidRPr="00780EAD">
        <w:rPr>
          <w:rFonts w:ascii="Times New Roman" w:hAnsi="Times New Roman" w:cs="Times New Roman"/>
          <w:sz w:val="24"/>
          <w:szCs w:val="24"/>
        </w:rPr>
        <w:t xml:space="preserve">olice, </w:t>
      </w:r>
      <w:proofErr w:type="gramStart"/>
      <w:r w:rsidRPr="00780EAD">
        <w:rPr>
          <w:rFonts w:ascii="Times New Roman" w:hAnsi="Times New Roman" w:cs="Times New Roman"/>
          <w:sz w:val="24"/>
          <w:szCs w:val="24"/>
        </w:rPr>
        <w:t>which</w:t>
      </w:r>
      <w:proofErr w:type="gramEnd"/>
      <w:r w:rsidRPr="00780EAD">
        <w:rPr>
          <w:rFonts w:ascii="Times New Roman" w:hAnsi="Times New Roman" w:cs="Times New Roman"/>
          <w:sz w:val="24"/>
          <w:szCs w:val="24"/>
        </w:rPr>
        <w:t xml:space="preserve"> tends to incriminate the plaintiff with a wide room for </w:t>
      </w:r>
      <w:r w:rsidR="00A76F5C" w:rsidRPr="00780EAD">
        <w:rPr>
          <w:rFonts w:ascii="Times New Roman" w:hAnsi="Times New Roman" w:cs="Times New Roman"/>
          <w:sz w:val="24"/>
          <w:szCs w:val="24"/>
        </w:rPr>
        <w:t>discretion,</w:t>
      </w:r>
      <w:r w:rsidRPr="00780EAD">
        <w:rPr>
          <w:rFonts w:ascii="Times New Roman" w:hAnsi="Times New Roman" w:cs="Times New Roman"/>
          <w:sz w:val="24"/>
          <w:szCs w:val="24"/>
        </w:rPr>
        <w:t xml:space="preserve"> the defendant will not be regarded as having instituted the proceeding.</w:t>
      </w:r>
    </w:p>
    <w:p w:rsidR="00E77202" w:rsidRPr="00E77202" w:rsidRDefault="00E77202" w:rsidP="00E77202">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Also i</w:t>
      </w:r>
      <w:r w:rsidRPr="00E77202">
        <w:rPr>
          <w:rFonts w:ascii="Times New Roman" w:hAnsi="Times New Roman" w:cs="Times New Roman"/>
          <w:sz w:val="24"/>
          <w:szCs w:val="24"/>
        </w:rPr>
        <w:t xml:space="preserve">n </w:t>
      </w:r>
      <w:r w:rsidR="00210DC8" w:rsidRPr="00783B0B">
        <w:rPr>
          <w:rFonts w:ascii="Times New Roman" w:hAnsi="Times New Roman" w:cs="Times New Roman"/>
          <w:b/>
          <w:i/>
          <w:sz w:val="24"/>
          <w:szCs w:val="24"/>
        </w:rPr>
        <w:t>Evans v London Hospital Medical College</w:t>
      </w:r>
      <w:r w:rsidRPr="00E77202">
        <w:rPr>
          <w:rFonts w:ascii="Times New Roman" w:hAnsi="Times New Roman" w:cs="Times New Roman"/>
          <w:sz w:val="24"/>
          <w:szCs w:val="24"/>
        </w:rPr>
        <w:t>,</w:t>
      </w:r>
      <w:r w:rsidR="00783B0B">
        <w:rPr>
          <w:rStyle w:val="FootnoteReference"/>
          <w:rFonts w:ascii="Times New Roman" w:hAnsi="Times New Roman" w:cs="Times New Roman"/>
          <w:sz w:val="24"/>
          <w:szCs w:val="24"/>
        </w:rPr>
        <w:footnoteReference w:id="5"/>
      </w:r>
      <w:r w:rsidRPr="00E77202">
        <w:rPr>
          <w:rFonts w:ascii="Times New Roman" w:hAnsi="Times New Roman" w:cs="Times New Roman"/>
          <w:sz w:val="24"/>
          <w:szCs w:val="24"/>
        </w:rPr>
        <w:t xml:space="preserve"> the defendant at the request of the police prepared a post-mortem report on the basis of which the plaintiff was charged with murder. The claim of the plaintiff was dismissed because the law was not set in motion by the defendant.</w:t>
      </w:r>
    </w:p>
    <w:p w:rsidR="00E77202" w:rsidRDefault="0013057F" w:rsidP="00E77202">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In addition</w:t>
      </w:r>
      <w:r w:rsidR="00E77202" w:rsidRPr="00E77202">
        <w:rPr>
          <w:rFonts w:ascii="Times New Roman" w:hAnsi="Times New Roman" w:cs="Times New Roman"/>
          <w:sz w:val="24"/>
          <w:szCs w:val="24"/>
        </w:rPr>
        <w:t xml:space="preserve"> it was established in the case of </w:t>
      </w:r>
      <w:proofErr w:type="spellStart"/>
      <w:r w:rsidR="00951A08" w:rsidRPr="00951A08">
        <w:rPr>
          <w:rFonts w:ascii="Times New Roman" w:hAnsi="Times New Roman" w:cs="Times New Roman"/>
          <w:b/>
          <w:i/>
          <w:sz w:val="24"/>
          <w:szCs w:val="24"/>
        </w:rPr>
        <w:t>Tewari</w:t>
      </w:r>
      <w:proofErr w:type="spellEnd"/>
      <w:r w:rsidR="00951A08" w:rsidRPr="00951A08">
        <w:rPr>
          <w:rFonts w:ascii="Times New Roman" w:hAnsi="Times New Roman" w:cs="Times New Roman"/>
          <w:b/>
          <w:i/>
          <w:sz w:val="24"/>
          <w:szCs w:val="24"/>
        </w:rPr>
        <w:t xml:space="preserve"> V. Singh</w:t>
      </w:r>
      <w:r w:rsidR="00E77202" w:rsidRPr="00E77202">
        <w:rPr>
          <w:rFonts w:ascii="Times New Roman" w:hAnsi="Times New Roman" w:cs="Times New Roman"/>
          <w:sz w:val="24"/>
          <w:szCs w:val="24"/>
        </w:rPr>
        <w:t>,</w:t>
      </w:r>
      <w:r w:rsidR="00951A08">
        <w:rPr>
          <w:rStyle w:val="FootnoteReference"/>
          <w:rFonts w:ascii="Times New Roman" w:hAnsi="Times New Roman" w:cs="Times New Roman"/>
          <w:sz w:val="24"/>
          <w:szCs w:val="24"/>
        </w:rPr>
        <w:footnoteReference w:id="6"/>
      </w:r>
      <w:r w:rsidR="00E77202" w:rsidRPr="00E77202">
        <w:rPr>
          <w:rFonts w:ascii="Times New Roman" w:hAnsi="Times New Roman" w:cs="Times New Roman"/>
          <w:sz w:val="24"/>
          <w:szCs w:val="24"/>
        </w:rPr>
        <w:t xml:space="preserve"> that if the defendant knowingly makes a false accusation to the police or a judicial officer , with the result that the an innocent</w:t>
      </w:r>
      <w:r w:rsidR="00B326DC">
        <w:rPr>
          <w:rFonts w:ascii="Times New Roman" w:hAnsi="Times New Roman" w:cs="Times New Roman"/>
          <w:sz w:val="24"/>
          <w:szCs w:val="24"/>
        </w:rPr>
        <w:t xml:space="preserve"> </w:t>
      </w:r>
      <w:r w:rsidR="00E77202" w:rsidRPr="00E77202">
        <w:rPr>
          <w:rFonts w:ascii="Times New Roman" w:hAnsi="Times New Roman" w:cs="Times New Roman"/>
          <w:sz w:val="24"/>
          <w:szCs w:val="24"/>
        </w:rPr>
        <w:lastRenderedPageBreak/>
        <w:t>man is sent for trial, he will be liable as the prosecutor, even though the prosecution was not technically conducted by him.</w:t>
      </w:r>
    </w:p>
    <w:p w:rsidR="00075E6B" w:rsidRPr="003C5C76" w:rsidRDefault="00075E6B" w:rsidP="00075E6B">
      <w:pPr>
        <w:pStyle w:val="ListParagraph"/>
        <w:numPr>
          <w:ilvl w:val="0"/>
          <w:numId w:val="3"/>
        </w:numPr>
        <w:rPr>
          <w:rFonts w:ascii="Times New Roman" w:hAnsi="Times New Roman" w:cs="Times New Roman"/>
          <w:b/>
          <w:sz w:val="24"/>
          <w:szCs w:val="24"/>
        </w:rPr>
      </w:pPr>
      <w:r w:rsidRPr="003C5C76">
        <w:rPr>
          <w:rFonts w:ascii="Times New Roman" w:hAnsi="Times New Roman" w:cs="Times New Roman"/>
          <w:b/>
          <w:sz w:val="24"/>
          <w:szCs w:val="24"/>
        </w:rPr>
        <w:t>That the prosecution terminated in the plaintiff’s favour</w:t>
      </w:r>
    </w:p>
    <w:p w:rsidR="00CA60DD" w:rsidRDefault="001E2D8A" w:rsidP="001E2D8A">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F</w:t>
      </w:r>
      <w:r w:rsidRPr="001E2D8A">
        <w:rPr>
          <w:rFonts w:ascii="Times New Roman" w:hAnsi="Times New Roman" w:cs="Times New Roman"/>
          <w:sz w:val="24"/>
          <w:szCs w:val="24"/>
        </w:rPr>
        <w:t>avourable termination of the prosecution can be described as trial which came to</w:t>
      </w:r>
      <w:r w:rsidR="00015129">
        <w:rPr>
          <w:rFonts w:ascii="Times New Roman" w:hAnsi="Times New Roman" w:cs="Times New Roman"/>
          <w:sz w:val="24"/>
          <w:szCs w:val="24"/>
        </w:rPr>
        <w:t xml:space="preserve"> </w:t>
      </w:r>
      <w:r w:rsidRPr="001E2D8A">
        <w:rPr>
          <w:rFonts w:ascii="Times New Roman" w:hAnsi="Times New Roman" w:cs="Times New Roman"/>
          <w:sz w:val="24"/>
          <w:szCs w:val="24"/>
        </w:rPr>
        <w:t>an end without conviction being pronounced. The underlying principle is that a man is deemed to be innocent until he is proved innocent. So what is required is not a judicial determination of his</w:t>
      </w:r>
      <w:r w:rsidR="00B910BB">
        <w:rPr>
          <w:rFonts w:ascii="Times New Roman" w:hAnsi="Times New Roman" w:cs="Times New Roman"/>
          <w:sz w:val="24"/>
          <w:szCs w:val="24"/>
        </w:rPr>
        <w:t xml:space="preserve"> </w:t>
      </w:r>
      <w:r w:rsidRPr="001E2D8A">
        <w:rPr>
          <w:rFonts w:ascii="Times New Roman" w:hAnsi="Times New Roman" w:cs="Times New Roman"/>
          <w:sz w:val="24"/>
          <w:szCs w:val="24"/>
        </w:rPr>
        <w:t>innocence; but merely, absence of judicial determination of his guilt. The requirement is satisfied</w:t>
      </w:r>
      <w:r w:rsidR="00B910BB">
        <w:rPr>
          <w:rFonts w:ascii="Times New Roman" w:hAnsi="Times New Roman" w:cs="Times New Roman"/>
          <w:sz w:val="24"/>
          <w:szCs w:val="24"/>
        </w:rPr>
        <w:t xml:space="preserve"> </w:t>
      </w:r>
      <w:r w:rsidRPr="001E2D8A">
        <w:rPr>
          <w:rFonts w:ascii="Times New Roman" w:hAnsi="Times New Roman" w:cs="Times New Roman"/>
          <w:sz w:val="24"/>
          <w:szCs w:val="24"/>
        </w:rPr>
        <w:t>if;</w:t>
      </w:r>
    </w:p>
    <w:p w:rsidR="007620FD" w:rsidRPr="007620FD" w:rsidRDefault="00840C44" w:rsidP="00840C44">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a)   </w:t>
      </w:r>
      <w:r w:rsidR="007620FD" w:rsidRPr="007620FD">
        <w:rPr>
          <w:rFonts w:ascii="Times New Roman" w:hAnsi="Times New Roman" w:cs="Times New Roman"/>
          <w:sz w:val="24"/>
          <w:szCs w:val="24"/>
        </w:rPr>
        <w:t>He is discharge on merit;</w:t>
      </w:r>
    </w:p>
    <w:p w:rsidR="007620FD" w:rsidRPr="007620FD" w:rsidRDefault="004164C7" w:rsidP="004164C7">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b)  </w:t>
      </w:r>
      <w:r w:rsidR="007620FD" w:rsidRPr="007620FD">
        <w:rPr>
          <w:rFonts w:ascii="Times New Roman" w:hAnsi="Times New Roman" w:cs="Times New Roman"/>
          <w:sz w:val="24"/>
          <w:szCs w:val="24"/>
        </w:rPr>
        <w:t>The plaintiff was convicted in a lower court; but, his conviction was quash</w:t>
      </w:r>
      <w:r w:rsidR="00683B55">
        <w:rPr>
          <w:rFonts w:ascii="Times New Roman" w:hAnsi="Times New Roman" w:cs="Times New Roman"/>
          <w:sz w:val="24"/>
          <w:szCs w:val="24"/>
        </w:rPr>
        <w:t>ed</w:t>
      </w:r>
      <w:r w:rsidR="007620FD" w:rsidRPr="007620FD">
        <w:rPr>
          <w:rFonts w:ascii="Times New Roman" w:hAnsi="Times New Roman" w:cs="Times New Roman"/>
          <w:sz w:val="24"/>
          <w:szCs w:val="24"/>
        </w:rPr>
        <w:t xml:space="preserve"> on appeal because of irregularity of procedure;</w:t>
      </w:r>
      <w:r w:rsidR="00F128C5">
        <w:rPr>
          <w:rStyle w:val="FootnoteReference"/>
          <w:rFonts w:ascii="Times New Roman" w:hAnsi="Times New Roman" w:cs="Times New Roman"/>
          <w:sz w:val="24"/>
          <w:szCs w:val="24"/>
        </w:rPr>
        <w:footnoteReference w:id="7"/>
      </w:r>
    </w:p>
    <w:p w:rsidR="007620FD" w:rsidRPr="007620FD" w:rsidRDefault="004164C7" w:rsidP="004164C7">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c)  </w:t>
      </w:r>
      <w:r w:rsidR="007620FD" w:rsidRPr="007620FD">
        <w:rPr>
          <w:rFonts w:ascii="Times New Roman" w:hAnsi="Times New Roman" w:cs="Times New Roman"/>
          <w:sz w:val="24"/>
          <w:szCs w:val="24"/>
        </w:rPr>
        <w:t>Where the plaintiff was acquitted of the charge in question but convicted of a lesser</w:t>
      </w:r>
      <w:r>
        <w:rPr>
          <w:rFonts w:ascii="Times New Roman" w:hAnsi="Times New Roman" w:cs="Times New Roman"/>
          <w:sz w:val="24"/>
          <w:szCs w:val="24"/>
        </w:rPr>
        <w:t xml:space="preserve"> </w:t>
      </w:r>
      <w:r w:rsidR="007620FD" w:rsidRPr="007620FD">
        <w:rPr>
          <w:rFonts w:ascii="Times New Roman" w:hAnsi="Times New Roman" w:cs="Times New Roman"/>
          <w:sz w:val="24"/>
          <w:szCs w:val="24"/>
        </w:rPr>
        <w:t>offence;</w:t>
      </w:r>
      <w:r w:rsidR="004205C5">
        <w:rPr>
          <w:rStyle w:val="FootnoteReference"/>
          <w:rFonts w:ascii="Times New Roman" w:hAnsi="Times New Roman" w:cs="Times New Roman"/>
          <w:sz w:val="24"/>
          <w:szCs w:val="24"/>
        </w:rPr>
        <w:footnoteReference w:id="8"/>
      </w:r>
    </w:p>
    <w:p w:rsidR="007620FD" w:rsidRPr="007620FD" w:rsidRDefault="006D730E" w:rsidP="006D730E">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d)  </w:t>
      </w:r>
      <w:r w:rsidR="007620FD" w:rsidRPr="007620FD">
        <w:rPr>
          <w:rFonts w:ascii="Times New Roman" w:hAnsi="Times New Roman" w:cs="Times New Roman"/>
          <w:sz w:val="24"/>
          <w:szCs w:val="24"/>
        </w:rPr>
        <w:t>Where the plaintiff was acquitted on technicality such as a defect in the indictment;</w:t>
      </w:r>
      <w:r w:rsidR="00687702">
        <w:rPr>
          <w:rStyle w:val="FootnoteReference"/>
          <w:rFonts w:ascii="Times New Roman" w:hAnsi="Times New Roman" w:cs="Times New Roman"/>
          <w:sz w:val="24"/>
          <w:szCs w:val="24"/>
        </w:rPr>
        <w:footnoteReference w:id="9"/>
      </w:r>
    </w:p>
    <w:p w:rsidR="007620FD" w:rsidRPr="007620FD" w:rsidRDefault="006D730E" w:rsidP="006D730E">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e) </w:t>
      </w:r>
      <w:r w:rsidR="007620FD" w:rsidRPr="007620FD">
        <w:rPr>
          <w:rFonts w:ascii="Times New Roman" w:hAnsi="Times New Roman" w:cs="Times New Roman"/>
          <w:sz w:val="24"/>
          <w:szCs w:val="24"/>
        </w:rPr>
        <w:t>Where the prosecutor discontinued the proceeding or withdrew the charge even without prejudice to the right to recommence;</w:t>
      </w:r>
      <w:r w:rsidR="0007089A">
        <w:rPr>
          <w:rStyle w:val="FootnoteReference"/>
          <w:rFonts w:ascii="Times New Roman" w:hAnsi="Times New Roman" w:cs="Times New Roman"/>
          <w:sz w:val="24"/>
          <w:szCs w:val="24"/>
        </w:rPr>
        <w:footnoteReference w:id="10"/>
      </w:r>
    </w:p>
    <w:p w:rsidR="007620FD" w:rsidRPr="007620FD" w:rsidRDefault="006D730E" w:rsidP="006D730E">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f) Where the A</w:t>
      </w:r>
      <w:r w:rsidR="0075183A">
        <w:rPr>
          <w:rFonts w:ascii="Times New Roman" w:hAnsi="Times New Roman" w:cs="Times New Roman"/>
          <w:sz w:val="24"/>
          <w:szCs w:val="24"/>
        </w:rPr>
        <w:t xml:space="preserve">ttorney </w:t>
      </w:r>
      <w:r>
        <w:rPr>
          <w:rFonts w:ascii="Times New Roman" w:hAnsi="Times New Roman" w:cs="Times New Roman"/>
          <w:sz w:val="24"/>
          <w:szCs w:val="24"/>
        </w:rPr>
        <w:t>G</w:t>
      </w:r>
      <w:r w:rsidR="0075183A">
        <w:rPr>
          <w:rFonts w:ascii="Times New Roman" w:hAnsi="Times New Roman" w:cs="Times New Roman"/>
          <w:sz w:val="24"/>
          <w:szCs w:val="24"/>
        </w:rPr>
        <w:t>eneral</w:t>
      </w:r>
      <w:r>
        <w:rPr>
          <w:rFonts w:ascii="Times New Roman" w:hAnsi="Times New Roman" w:cs="Times New Roman"/>
          <w:sz w:val="24"/>
          <w:szCs w:val="24"/>
        </w:rPr>
        <w:t xml:space="preserve"> enters a </w:t>
      </w:r>
      <w:proofErr w:type="spellStart"/>
      <w:r w:rsidRPr="0075183A">
        <w:rPr>
          <w:rFonts w:ascii="Times New Roman" w:hAnsi="Times New Roman" w:cs="Times New Roman"/>
          <w:i/>
          <w:sz w:val="24"/>
          <w:szCs w:val="24"/>
        </w:rPr>
        <w:t>nolle</w:t>
      </w:r>
      <w:proofErr w:type="spellEnd"/>
      <w:r w:rsidRPr="0075183A">
        <w:rPr>
          <w:rFonts w:ascii="Times New Roman" w:hAnsi="Times New Roman" w:cs="Times New Roman"/>
          <w:i/>
          <w:sz w:val="24"/>
          <w:szCs w:val="24"/>
        </w:rPr>
        <w:t xml:space="preserve"> </w:t>
      </w:r>
      <w:proofErr w:type="spellStart"/>
      <w:r w:rsidRPr="0075183A">
        <w:rPr>
          <w:rFonts w:ascii="Times New Roman" w:hAnsi="Times New Roman" w:cs="Times New Roman"/>
          <w:i/>
          <w:sz w:val="24"/>
          <w:szCs w:val="24"/>
        </w:rPr>
        <w:t>prosequi</w:t>
      </w:r>
      <w:proofErr w:type="spellEnd"/>
      <w:r w:rsidR="007620FD" w:rsidRPr="007620FD">
        <w:rPr>
          <w:rFonts w:ascii="Times New Roman" w:hAnsi="Times New Roman" w:cs="Times New Roman"/>
          <w:sz w:val="24"/>
          <w:szCs w:val="24"/>
        </w:rPr>
        <w:t xml:space="preserve"> staying further proceedings on the indictment; and,</w:t>
      </w:r>
      <w:r w:rsidR="00096034">
        <w:rPr>
          <w:rStyle w:val="FootnoteReference"/>
          <w:rFonts w:ascii="Times New Roman" w:hAnsi="Times New Roman" w:cs="Times New Roman"/>
          <w:sz w:val="24"/>
          <w:szCs w:val="24"/>
        </w:rPr>
        <w:footnoteReference w:id="11"/>
      </w:r>
    </w:p>
    <w:p w:rsidR="00164D7E" w:rsidRDefault="006D730E" w:rsidP="0044528F">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 xml:space="preserve">g)  </w:t>
      </w:r>
      <w:r w:rsidR="007620FD" w:rsidRPr="007620FD">
        <w:rPr>
          <w:rFonts w:ascii="Times New Roman" w:hAnsi="Times New Roman" w:cs="Times New Roman"/>
          <w:sz w:val="24"/>
          <w:szCs w:val="24"/>
        </w:rPr>
        <w:t>Where the charge was struck out for want of prosecution or lack of diligent prosecution.</w:t>
      </w:r>
    </w:p>
    <w:p w:rsidR="00B95A27" w:rsidRDefault="00B95A27" w:rsidP="0044528F">
      <w:pPr>
        <w:spacing w:line="480" w:lineRule="auto"/>
        <w:ind w:left="60"/>
        <w:jc w:val="both"/>
        <w:rPr>
          <w:rFonts w:ascii="Times New Roman" w:hAnsi="Times New Roman" w:cs="Times New Roman"/>
          <w:sz w:val="24"/>
          <w:szCs w:val="24"/>
        </w:rPr>
      </w:pPr>
      <w:r w:rsidRPr="00B95A27">
        <w:rPr>
          <w:rFonts w:ascii="Times New Roman" w:hAnsi="Times New Roman" w:cs="Times New Roman"/>
          <w:sz w:val="24"/>
          <w:szCs w:val="24"/>
        </w:rPr>
        <w:lastRenderedPageBreak/>
        <w:t xml:space="preserve">In </w:t>
      </w:r>
      <w:proofErr w:type="spellStart"/>
      <w:r w:rsidR="00EE3541" w:rsidRPr="00EE3541">
        <w:rPr>
          <w:rFonts w:ascii="Times New Roman" w:hAnsi="Times New Roman" w:cs="Times New Roman"/>
          <w:b/>
          <w:i/>
          <w:sz w:val="24"/>
          <w:szCs w:val="24"/>
        </w:rPr>
        <w:t>Basebe</w:t>
      </w:r>
      <w:proofErr w:type="spellEnd"/>
      <w:r w:rsidR="00EE3541" w:rsidRPr="00EE3541">
        <w:rPr>
          <w:rFonts w:ascii="Times New Roman" w:hAnsi="Times New Roman" w:cs="Times New Roman"/>
          <w:b/>
          <w:i/>
          <w:sz w:val="24"/>
          <w:szCs w:val="24"/>
        </w:rPr>
        <w:t xml:space="preserve"> V. Mathews</w:t>
      </w:r>
      <w:r w:rsidRPr="00B95A27">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B95A27">
        <w:rPr>
          <w:rFonts w:ascii="Times New Roman" w:hAnsi="Times New Roman" w:cs="Times New Roman"/>
          <w:sz w:val="24"/>
          <w:szCs w:val="24"/>
        </w:rPr>
        <w:t xml:space="preserve"> the plaintiff brought an action against the defendant for malicious without reasonable or probable cause making a false, scandalous statement before the magistrate which caused the plaintiff to be wrongfully convicted of assault. The action failed because the criminal proceeding was not determined in favour of the plaintiff.</w:t>
      </w:r>
    </w:p>
    <w:p w:rsidR="00383D31" w:rsidRPr="00383D31" w:rsidRDefault="00383D31" w:rsidP="00383D31">
      <w:pPr>
        <w:spacing w:line="480" w:lineRule="auto"/>
        <w:ind w:left="60"/>
        <w:jc w:val="both"/>
        <w:rPr>
          <w:rFonts w:ascii="Times New Roman" w:hAnsi="Times New Roman" w:cs="Times New Roman"/>
          <w:sz w:val="24"/>
          <w:szCs w:val="24"/>
        </w:rPr>
      </w:pPr>
      <w:r w:rsidRPr="00383D31">
        <w:rPr>
          <w:rFonts w:ascii="Times New Roman" w:hAnsi="Times New Roman" w:cs="Times New Roman"/>
          <w:sz w:val="24"/>
          <w:szCs w:val="24"/>
        </w:rPr>
        <w:t xml:space="preserve">In </w:t>
      </w:r>
      <w:proofErr w:type="spellStart"/>
      <w:r w:rsidR="004A3330" w:rsidRPr="004A3330">
        <w:rPr>
          <w:rFonts w:ascii="Times New Roman" w:hAnsi="Times New Roman" w:cs="Times New Roman"/>
          <w:b/>
          <w:i/>
          <w:sz w:val="24"/>
          <w:szCs w:val="24"/>
        </w:rPr>
        <w:t>Fadeyi</w:t>
      </w:r>
      <w:proofErr w:type="spellEnd"/>
      <w:r w:rsidR="004A3330" w:rsidRPr="004A3330">
        <w:rPr>
          <w:rFonts w:ascii="Times New Roman" w:hAnsi="Times New Roman" w:cs="Times New Roman"/>
          <w:b/>
          <w:i/>
          <w:sz w:val="24"/>
          <w:szCs w:val="24"/>
        </w:rPr>
        <w:t xml:space="preserve"> &amp; </w:t>
      </w:r>
      <w:proofErr w:type="spellStart"/>
      <w:r w:rsidR="004A3330" w:rsidRPr="004A3330">
        <w:rPr>
          <w:rFonts w:ascii="Times New Roman" w:hAnsi="Times New Roman" w:cs="Times New Roman"/>
          <w:b/>
          <w:i/>
          <w:sz w:val="24"/>
          <w:szCs w:val="24"/>
        </w:rPr>
        <w:t>Anor</w:t>
      </w:r>
      <w:proofErr w:type="spellEnd"/>
      <w:r w:rsidR="004A3330" w:rsidRPr="004A3330">
        <w:rPr>
          <w:rFonts w:ascii="Times New Roman" w:hAnsi="Times New Roman" w:cs="Times New Roman"/>
          <w:b/>
          <w:i/>
          <w:sz w:val="24"/>
          <w:szCs w:val="24"/>
        </w:rPr>
        <w:t xml:space="preserve"> V. </w:t>
      </w:r>
      <w:proofErr w:type="spellStart"/>
      <w:r w:rsidR="004A3330" w:rsidRPr="004A3330">
        <w:rPr>
          <w:rFonts w:ascii="Times New Roman" w:hAnsi="Times New Roman" w:cs="Times New Roman"/>
          <w:b/>
          <w:i/>
          <w:sz w:val="24"/>
          <w:szCs w:val="24"/>
        </w:rPr>
        <w:t>Owolabi</w:t>
      </w:r>
      <w:proofErr w:type="spellEnd"/>
      <w:r w:rsidR="004A3330" w:rsidRPr="004A3330">
        <w:rPr>
          <w:rFonts w:ascii="Times New Roman" w:hAnsi="Times New Roman" w:cs="Times New Roman"/>
          <w:b/>
          <w:i/>
          <w:sz w:val="24"/>
          <w:szCs w:val="24"/>
        </w:rPr>
        <w:t xml:space="preserve"> &amp; </w:t>
      </w:r>
      <w:proofErr w:type="spellStart"/>
      <w:r w:rsidR="004A3330" w:rsidRPr="004A3330">
        <w:rPr>
          <w:rFonts w:ascii="Times New Roman" w:hAnsi="Times New Roman" w:cs="Times New Roman"/>
          <w:b/>
          <w:i/>
          <w:sz w:val="24"/>
          <w:szCs w:val="24"/>
        </w:rPr>
        <w:t>Anor</w:t>
      </w:r>
      <w:proofErr w:type="spellEnd"/>
      <w:r w:rsidRPr="00383D31">
        <w:rPr>
          <w:rFonts w:ascii="Times New Roman" w:hAnsi="Times New Roman" w:cs="Times New Roman"/>
          <w:sz w:val="24"/>
          <w:szCs w:val="24"/>
        </w:rPr>
        <w:t>,</w:t>
      </w:r>
      <w:r w:rsidR="00B609BA">
        <w:rPr>
          <w:rStyle w:val="FootnoteReference"/>
          <w:rFonts w:ascii="Times New Roman" w:hAnsi="Times New Roman" w:cs="Times New Roman"/>
          <w:sz w:val="24"/>
          <w:szCs w:val="24"/>
        </w:rPr>
        <w:footnoteReference w:id="13"/>
      </w:r>
      <w:r w:rsidRPr="00383D31">
        <w:rPr>
          <w:rFonts w:ascii="Times New Roman" w:hAnsi="Times New Roman" w:cs="Times New Roman"/>
          <w:sz w:val="24"/>
          <w:szCs w:val="24"/>
        </w:rPr>
        <w:t xml:space="preserve"> the appellant was building on a land sold to him by a member of a family when another branch came to him and asked him to stop work on the land, the respondent lodged complain with the police, subsequently they were charged before a magistrate court for the offence of malicious damage to property. They were discharged and acquitted on the count. The Court of Appeal held that for an action on malicious prosecution to fail, it should be shown that the trial ended in the conviction of the accused.</w:t>
      </w:r>
    </w:p>
    <w:p w:rsidR="00383D31" w:rsidRPr="00971050" w:rsidRDefault="00383D31" w:rsidP="00383D31">
      <w:pPr>
        <w:spacing w:line="480" w:lineRule="auto"/>
        <w:ind w:left="60"/>
        <w:jc w:val="both"/>
        <w:rPr>
          <w:rFonts w:ascii="Times New Roman" w:hAnsi="Times New Roman" w:cs="Times New Roman"/>
          <w:sz w:val="24"/>
          <w:szCs w:val="24"/>
        </w:rPr>
      </w:pPr>
      <w:r w:rsidRPr="00383D31">
        <w:rPr>
          <w:rFonts w:ascii="Times New Roman" w:hAnsi="Times New Roman" w:cs="Times New Roman"/>
          <w:sz w:val="24"/>
          <w:szCs w:val="24"/>
        </w:rPr>
        <w:t xml:space="preserve">In </w:t>
      </w:r>
      <w:proofErr w:type="spellStart"/>
      <w:r w:rsidR="008679BD" w:rsidRPr="008679BD">
        <w:rPr>
          <w:rFonts w:ascii="Times New Roman" w:hAnsi="Times New Roman" w:cs="Times New Roman"/>
          <w:b/>
          <w:i/>
          <w:sz w:val="24"/>
          <w:szCs w:val="24"/>
        </w:rPr>
        <w:t>Ogbonna</w:t>
      </w:r>
      <w:proofErr w:type="spellEnd"/>
      <w:r w:rsidR="008679BD" w:rsidRPr="008679BD">
        <w:rPr>
          <w:rFonts w:ascii="Times New Roman" w:hAnsi="Times New Roman" w:cs="Times New Roman"/>
          <w:b/>
          <w:i/>
          <w:sz w:val="24"/>
          <w:szCs w:val="24"/>
        </w:rPr>
        <w:t xml:space="preserve"> V. </w:t>
      </w:r>
      <w:proofErr w:type="spellStart"/>
      <w:r w:rsidR="008679BD" w:rsidRPr="008679BD">
        <w:rPr>
          <w:rFonts w:ascii="Times New Roman" w:hAnsi="Times New Roman" w:cs="Times New Roman"/>
          <w:b/>
          <w:i/>
          <w:sz w:val="24"/>
          <w:szCs w:val="24"/>
        </w:rPr>
        <w:t>Ogbonna</w:t>
      </w:r>
      <w:proofErr w:type="spellEnd"/>
      <w:r w:rsidR="008679BD" w:rsidRPr="008679BD">
        <w:rPr>
          <w:rFonts w:ascii="Times New Roman" w:hAnsi="Times New Roman" w:cs="Times New Roman"/>
          <w:b/>
          <w:i/>
          <w:sz w:val="24"/>
          <w:szCs w:val="24"/>
        </w:rPr>
        <w:t xml:space="preserve"> &amp;</w:t>
      </w:r>
      <w:proofErr w:type="spellStart"/>
      <w:r w:rsidR="008679BD" w:rsidRPr="008679BD">
        <w:rPr>
          <w:rFonts w:ascii="Times New Roman" w:hAnsi="Times New Roman" w:cs="Times New Roman"/>
          <w:b/>
          <w:i/>
          <w:sz w:val="24"/>
          <w:szCs w:val="24"/>
        </w:rPr>
        <w:t>Anor</w:t>
      </w:r>
      <w:proofErr w:type="spellEnd"/>
      <w:r w:rsidRPr="00383D31">
        <w:rPr>
          <w:rFonts w:ascii="Times New Roman" w:hAnsi="Times New Roman" w:cs="Times New Roman"/>
          <w:sz w:val="24"/>
          <w:szCs w:val="24"/>
        </w:rPr>
        <w:t>,</w:t>
      </w:r>
      <w:r w:rsidR="008679BD">
        <w:rPr>
          <w:rStyle w:val="FootnoteReference"/>
          <w:rFonts w:ascii="Times New Roman" w:hAnsi="Times New Roman" w:cs="Times New Roman"/>
          <w:sz w:val="24"/>
          <w:szCs w:val="24"/>
        </w:rPr>
        <w:footnoteReference w:id="14"/>
      </w:r>
      <w:r w:rsidRPr="00383D31">
        <w:rPr>
          <w:rFonts w:ascii="Times New Roman" w:hAnsi="Times New Roman" w:cs="Times New Roman"/>
          <w:sz w:val="24"/>
          <w:szCs w:val="24"/>
        </w:rPr>
        <w:t xml:space="preserve"> the court held that If the prosecution proceedings are terminated in a way that means that the accused person is not actually found guilty by a Court (such as where a </w:t>
      </w:r>
      <w:proofErr w:type="spellStart"/>
      <w:r w:rsidRPr="008C678F">
        <w:rPr>
          <w:rFonts w:ascii="Times New Roman" w:hAnsi="Times New Roman" w:cs="Times New Roman"/>
          <w:b/>
          <w:i/>
          <w:sz w:val="24"/>
          <w:szCs w:val="24"/>
        </w:rPr>
        <w:t>nolle</w:t>
      </w:r>
      <w:proofErr w:type="spellEnd"/>
      <w:r w:rsidRPr="008C678F">
        <w:rPr>
          <w:rFonts w:ascii="Times New Roman" w:hAnsi="Times New Roman" w:cs="Times New Roman"/>
          <w:b/>
          <w:i/>
          <w:sz w:val="24"/>
          <w:szCs w:val="24"/>
        </w:rPr>
        <w:t xml:space="preserve"> </w:t>
      </w:r>
      <w:proofErr w:type="spellStart"/>
      <w:r w:rsidRPr="008C678F">
        <w:rPr>
          <w:rFonts w:ascii="Times New Roman" w:hAnsi="Times New Roman" w:cs="Times New Roman"/>
          <w:b/>
          <w:i/>
          <w:sz w:val="24"/>
          <w:szCs w:val="24"/>
        </w:rPr>
        <w:t>prosequi</w:t>
      </w:r>
      <w:proofErr w:type="spellEnd"/>
      <w:r w:rsidRPr="00383D31">
        <w:rPr>
          <w:rFonts w:ascii="Times New Roman" w:hAnsi="Times New Roman" w:cs="Times New Roman"/>
          <w:sz w:val="24"/>
          <w:szCs w:val="24"/>
        </w:rPr>
        <w:t xml:space="preserve"> is entered), the plaintiff does not need to positively prove his innocence in order to recover damages for malicious prosecution.</w:t>
      </w:r>
    </w:p>
    <w:p w:rsidR="006910D0" w:rsidRPr="007F7024" w:rsidRDefault="00683B55" w:rsidP="003429C6">
      <w:pPr>
        <w:spacing w:line="480" w:lineRule="auto"/>
        <w:jc w:val="both"/>
        <w:rPr>
          <w:rFonts w:ascii="Times New Roman" w:hAnsi="Times New Roman" w:cs="Times New Roman"/>
          <w:b/>
          <w:sz w:val="24"/>
          <w:szCs w:val="24"/>
        </w:rPr>
      </w:pPr>
      <w:r w:rsidRPr="00683B55">
        <w:rPr>
          <w:rFonts w:ascii="Times New Roman" w:hAnsi="Times New Roman" w:cs="Times New Roman"/>
          <w:sz w:val="24"/>
          <w:szCs w:val="24"/>
        </w:rPr>
        <w:t>iii.</w:t>
      </w:r>
      <w:r w:rsidRPr="00683B55">
        <w:rPr>
          <w:rFonts w:ascii="Times New Roman" w:hAnsi="Times New Roman" w:cs="Times New Roman"/>
          <w:sz w:val="24"/>
          <w:szCs w:val="24"/>
        </w:rPr>
        <w:tab/>
      </w:r>
      <w:r w:rsidRPr="007F7024">
        <w:rPr>
          <w:rFonts w:ascii="Times New Roman" w:hAnsi="Times New Roman" w:cs="Times New Roman"/>
          <w:b/>
          <w:sz w:val="24"/>
          <w:szCs w:val="24"/>
        </w:rPr>
        <w:t>That the defendant had no reasonable and probable cause for the prosecution</w:t>
      </w:r>
    </w:p>
    <w:p w:rsidR="00874EF8" w:rsidRDefault="00874EF8" w:rsidP="002F32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166">
        <w:rPr>
          <w:rFonts w:ascii="Times New Roman" w:hAnsi="Times New Roman" w:cs="Times New Roman"/>
          <w:sz w:val="24"/>
          <w:szCs w:val="24"/>
        </w:rPr>
        <w:t xml:space="preserve">A </w:t>
      </w:r>
      <w:r w:rsidR="00632166" w:rsidRPr="00632166">
        <w:rPr>
          <w:rFonts w:ascii="Times New Roman" w:hAnsi="Times New Roman" w:cs="Times New Roman"/>
          <w:sz w:val="24"/>
          <w:szCs w:val="24"/>
        </w:rPr>
        <w:t>reasonable and probable cause entails the defendan</w:t>
      </w:r>
      <w:r w:rsidR="00632166">
        <w:rPr>
          <w:rFonts w:ascii="Times New Roman" w:hAnsi="Times New Roman" w:cs="Times New Roman"/>
          <w:sz w:val="24"/>
          <w:szCs w:val="24"/>
        </w:rPr>
        <w:t>t</w:t>
      </w:r>
      <w:r w:rsidR="004D4807">
        <w:rPr>
          <w:rFonts w:ascii="Times New Roman" w:hAnsi="Times New Roman" w:cs="Times New Roman"/>
          <w:sz w:val="24"/>
          <w:szCs w:val="24"/>
        </w:rPr>
        <w:t xml:space="preserve"> </w:t>
      </w:r>
      <w:r w:rsidR="002F32C9" w:rsidRPr="002F32C9">
        <w:rPr>
          <w:rFonts w:ascii="Times New Roman" w:hAnsi="Times New Roman" w:cs="Times New Roman"/>
          <w:sz w:val="24"/>
          <w:szCs w:val="24"/>
        </w:rPr>
        <w:t>having in his position as a reasonable and sane person a set of fact which to an ordinary man will</w:t>
      </w:r>
      <w:r w:rsidR="002F32C9">
        <w:rPr>
          <w:rFonts w:ascii="Times New Roman" w:hAnsi="Times New Roman" w:cs="Times New Roman"/>
          <w:sz w:val="24"/>
          <w:szCs w:val="24"/>
        </w:rPr>
        <w:t xml:space="preserve"> </w:t>
      </w:r>
      <w:r w:rsidR="002F32C9" w:rsidRPr="002F32C9">
        <w:rPr>
          <w:rFonts w:ascii="Times New Roman" w:hAnsi="Times New Roman" w:cs="Times New Roman"/>
          <w:sz w:val="24"/>
          <w:szCs w:val="24"/>
        </w:rPr>
        <w:t>lead to the conclusion that the plaintiff has committed a criminal offence. It is for the plaintiff to</w:t>
      </w:r>
      <w:r w:rsidR="002F32C9">
        <w:rPr>
          <w:rFonts w:ascii="Times New Roman" w:hAnsi="Times New Roman" w:cs="Times New Roman"/>
          <w:sz w:val="24"/>
          <w:szCs w:val="24"/>
        </w:rPr>
        <w:t xml:space="preserve"> </w:t>
      </w:r>
      <w:r w:rsidR="002F32C9" w:rsidRPr="002F32C9">
        <w:rPr>
          <w:rFonts w:ascii="Times New Roman" w:hAnsi="Times New Roman" w:cs="Times New Roman"/>
          <w:sz w:val="24"/>
          <w:szCs w:val="24"/>
        </w:rPr>
        <w:t>establish the absence of reasonable and probable cause not for the defendant to establish its presence. The test is objective and subjective.</w:t>
      </w:r>
    </w:p>
    <w:p w:rsidR="005A3166" w:rsidRDefault="006C265A" w:rsidP="00C7785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as an element of malicious prosecution</w:t>
      </w:r>
      <w:r w:rsidR="007615F5">
        <w:rPr>
          <w:rFonts w:ascii="Times New Roman" w:hAnsi="Times New Roman" w:cs="Times New Roman"/>
          <w:sz w:val="24"/>
          <w:szCs w:val="24"/>
        </w:rPr>
        <w:t xml:space="preserve">, such prosecution </w:t>
      </w:r>
      <w:r w:rsidR="00A928C3">
        <w:rPr>
          <w:rFonts w:ascii="Times New Roman" w:hAnsi="Times New Roman" w:cs="Times New Roman"/>
          <w:sz w:val="24"/>
          <w:szCs w:val="24"/>
        </w:rPr>
        <w:t xml:space="preserve">must have been without </w:t>
      </w:r>
      <w:r w:rsidR="00240ACF">
        <w:rPr>
          <w:rFonts w:ascii="Times New Roman" w:hAnsi="Times New Roman" w:cs="Times New Roman"/>
          <w:sz w:val="24"/>
          <w:szCs w:val="24"/>
        </w:rPr>
        <w:t xml:space="preserve">a reasonable </w:t>
      </w:r>
      <w:r w:rsidR="005A1A52">
        <w:rPr>
          <w:rFonts w:ascii="Times New Roman" w:hAnsi="Times New Roman" w:cs="Times New Roman"/>
          <w:sz w:val="24"/>
          <w:szCs w:val="24"/>
        </w:rPr>
        <w:t xml:space="preserve">and probable </w:t>
      </w:r>
      <w:r w:rsidR="000E363B">
        <w:rPr>
          <w:rFonts w:ascii="Times New Roman" w:hAnsi="Times New Roman" w:cs="Times New Roman"/>
          <w:sz w:val="24"/>
          <w:szCs w:val="24"/>
        </w:rPr>
        <w:t>cause</w:t>
      </w:r>
      <w:r w:rsidR="008C678F">
        <w:rPr>
          <w:rFonts w:ascii="Times New Roman" w:hAnsi="Times New Roman" w:cs="Times New Roman"/>
          <w:sz w:val="24"/>
          <w:szCs w:val="24"/>
        </w:rPr>
        <w:t>.</w:t>
      </w:r>
    </w:p>
    <w:p w:rsidR="005A3166" w:rsidRPr="005A3166" w:rsidRDefault="006C265A" w:rsidP="005A31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3166" w:rsidRPr="005A3166">
        <w:rPr>
          <w:rFonts w:ascii="Times New Roman" w:hAnsi="Times New Roman" w:cs="Times New Roman"/>
          <w:sz w:val="24"/>
          <w:szCs w:val="24"/>
        </w:rPr>
        <w:t xml:space="preserve">In </w:t>
      </w:r>
      <w:proofErr w:type="spellStart"/>
      <w:r w:rsidR="005F7476" w:rsidRPr="005F7476">
        <w:rPr>
          <w:rFonts w:ascii="Times New Roman" w:hAnsi="Times New Roman" w:cs="Times New Roman"/>
          <w:b/>
          <w:i/>
          <w:sz w:val="24"/>
          <w:szCs w:val="24"/>
        </w:rPr>
        <w:t>Garba</w:t>
      </w:r>
      <w:proofErr w:type="spellEnd"/>
      <w:r w:rsidR="005F7476" w:rsidRPr="005F7476">
        <w:rPr>
          <w:rFonts w:ascii="Times New Roman" w:hAnsi="Times New Roman" w:cs="Times New Roman"/>
          <w:b/>
          <w:i/>
          <w:sz w:val="24"/>
          <w:szCs w:val="24"/>
        </w:rPr>
        <w:t xml:space="preserve"> V. </w:t>
      </w:r>
      <w:proofErr w:type="spellStart"/>
      <w:r w:rsidR="005F7476" w:rsidRPr="005F7476">
        <w:rPr>
          <w:rFonts w:ascii="Times New Roman" w:hAnsi="Times New Roman" w:cs="Times New Roman"/>
          <w:b/>
          <w:i/>
          <w:sz w:val="24"/>
          <w:szCs w:val="24"/>
        </w:rPr>
        <w:t>Maigoro</w:t>
      </w:r>
      <w:proofErr w:type="spellEnd"/>
      <w:r w:rsidR="005A3166" w:rsidRPr="005A3166">
        <w:rPr>
          <w:rFonts w:ascii="Times New Roman" w:hAnsi="Times New Roman" w:cs="Times New Roman"/>
          <w:sz w:val="24"/>
          <w:szCs w:val="24"/>
        </w:rPr>
        <w:t>,</w:t>
      </w:r>
      <w:r w:rsidR="005F7476">
        <w:rPr>
          <w:rStyle w:val="FootnoteReference"/>
          <w:rFonts w:ascii="Times New Roman" w:hAnsi="Times New Roman" w:cs="Times New Roman"/>
          <w:sz w:val="24"/>
          <w:szCs w:val="24"/>
        </w:rPr>
        <w:footnoteReference w:id="15"/>
      </w:r>
      <w:r w:rsidR="005A3166" w:rsidRPr="005A3166">
        <w:rPr>
          <w:rFonts w:ascii="Times New Roman" w:hAnsi="Times New Roman" w:cs="Times New Roman"/>
          <w:sz w:val="24"/>
          <w:szCs w:val="24"/>
        </w:rPr>
        <w:t xml:space="preserve"> the appellant lodged a complaint with the police that his vehicle parked in front of his house was set on fire. In an answer to a question put to him by the police, he stated that he suspected no one. When he was further questioned whether he has a misunderstanding with any person, he mentioned the respondent as his political rival. Consequent upon his report, the respondent was arrested, detained for two days and finally prosecuted on a charge of mischief by fire before an Upper Area Court. He was discharged for want of evidence. He brought an action for malicious prosecution against the appellant. The Court of Appeal held that the appellant had reasonable and probable cause for the prosecution and was not liable for malicious prosecution.</w:t>
      </w:r>
    </w:p>
    <w:p w:rsidR="005A3166" w:rsidRPr="005A3166" w:rsidRDefault="005A3166" w:rsidP="005A3166">
      <w:pPr>
        <w:spacing w:line="480" w:lineRule="auto"/>
        <w:jc w:val="both"/>
        <w:rPr>
          <w:rFonts w:ascii="Times New Roman" w:hAnsi="Times New Roman" w:cs="Times New Roman"/>
          <w:sz w:val="24"/>
          <w:szCs w:val="24"/>
        </w:rPr>
      </w:pPr>
      <w:r w:rsidRPr="005A3166">
        <w:rPr>
          <w:rFonts w:ascii="Times New Roman" w:hAnsi="Times New Roman" w:cs="Times New Roman"/>
          <w:sz w:val="24"/>
          <w:szCs w:val="24"/>
        </w:rPr>
        <w:t xml:space="preserve">The fact upon which the defendant based his belief must be one within his knowledge at the time of the institution of the prosecution. In </w:t>
      </w:r>
      <w:proofErr w:type="spellStart"/>
      <w:r w:rsidR="00CD13EF" w:rsidRPr="00CD13EF">
        <w:rPr>
          <w:rFonts w:ascii="Times New Roman" w:hAnsi="Times New Roman" w:cs="Times New Roman"/>
          <w:b/>
          <w:i/>
          <w:sz w:val="24"/>
          <w:szCs w:val="24"/>
        </w:rPr>
        <w:t>Delegal</w:t>
      </w:r>
      <w:proofErr w:type="spellEnd"/>
      <w:r w:rsidR="00CD13EF" w:rsidRPr="00CD13EF">
        <w:rPr>
          <w:rFonts w:ascii="Times New Roman" w:hAnsi="Times New Roman" w:cs="Times New Roman"/>
          <w:b/>
          <w:i/>
          <w:sz w:val="24"/>
          <w:szCs w:val="24"/>
        </w:rPr>
        <w:t xml:space="preserve"> V. </w:t>
      </w:r>
      <w:proofErr w:type="spellStart"/>
      <w:r w:rsidR="00CD13EF" w:rsidRPr="00CD13EF">
        <w:rPr>
          <w:rFonts w:ascii="Times New Roman" w:hAnsi="Times New Roman" w:cs="Times New Roman"/>
          <w:b/>
          <w:i/>
          <w:sz w:val="24"/>
          <w:szCs w:val="24"/>
        </w:rPr>
        <w:t>Highley</w:t>
      </w:r>
      <w:proofErr w:type="spellEnd"/>
      <w:r w:rsidRPr="005A3166">
        <w:rPr>
          <w:rFonts w:ascii="Times New Roman" w:hAnsi="Times New Roman" w:cs="Times New Roman"/>
          <w:sz w:val="24"/>
          <w:szCs w:val="24"/>
        </w:rPr>
        <w:t>,</w:t>
      </w:r>
      <w:r w:rsidR="00CD13EF">
        <w:rPr>
          <w:rStyle w:val="FootnoteReference"/>
          <w:rFonts w:ascii="Times New Roman" w:hAnsi="Times New Roman" w:cs="Times New Roman"/>
          <w:sz w:val="24"/>
          <w:szCs w:val="24"/>
        </w:rPr>
        <w:footnoteReference w:id="16"/>
      </w:r>
      <w:r w:rsidRPr="005A3166">
        <w:rPr>
          <w:rFonts w:ascii="Times New Roman" w:hAnsi="Times New Roman" w:cs="Times New Roman"/>
          <w:sz w:val="24"/>
          <w:szCs w:val="24"/>
        </w:rPr>
        <w:t xml:space="preserve"> the defendant in an action for malicious prosecution pleaded specifically facts showing the guilt of the accused of the crime charged, it was held that he cannot rely on them because they were altogether independent of the existence of the facts since he had knowledge of them for the first time after the charge was made.</w:t>
      </w:r>
    </w:p>
    <w:p w:rsidR="005A3166" w:rsidRPr="005A3166" w:rsidRDefault="005A3166" w:rsidP="005A3166">
      <w:pPr>
        <w:spacing w:line="480" w:lineRule="auto"/>
        <w:jc w:val="both"/>
        <w:rPr>
          <w:rFonts w:ascii="Times New Roman" w:hAnsi="Times New Roman" w:cs="Times New Roman"/>
          <w:sz w:val="24"/>
          <w:szCs w:val="24"/>
        </w:rPr>
      </w:pPr>
      <w:r w:rsidRPr="005A3166">
        <w:rPr>
          <w:rFonts w:ascii="Times New Roman" w:hAnsi="Times New Roman" w:cs="Times New Roman"/>
          <w:sz w:val="24"/>
          <w:szCs w:val="24"/>
        </w:rPr>
        <w:t xml:space="preserve">In establishing reasonable and probable cause evidence showing a prima facie case against the accused is sufficient. In </w:t>
      </w:r>
      <w:proofErr w:type="spellStart"/>
      <w:r w:rsidR="00894266" w:rsidRPr="00894266">
        <w:rPr>
          <w:rFonts w:ascii="Times New Roman" w:hAnsi="Times New Roman" w:cs="Times New Roman"/>
          <w:b/>
          <w:i/>
          <w:sz w:val="24"/>
          <w:szCs w:val="24"/>
        </w:rPr>
        <w:t>Eriavbe</w:t>
      </w:r>
      <w:proofErr w:type="spellEnd"/>
      <w:r w:rsidR="00894266" w:rsidRPr="00894266">
        <w:rPr>
          <w:rFonts w:ascii="Times New Roman" w:hAnsi="Times New Roman" w:cs="Times New Roman"/>
          <w:b/>
          <w:i/>
          <w:sz w:val="24"/>
          <w:szCs w:val="24"/>
        </w:rPr>
        <w:t xml:space="preserve"> V. </w:t>
      </w:r>
      <w:proofErr w:type="spellStart"/>
      <w:r w:rsidR="00894266" w:rsidRPr="00894266">
        <w:rPr>
          <w:rFonts w:ascii="Times New Roman" w:hAnsi="Times New Roman" w:cs="Times New Roman"/>
          <w:b/>
          <w:i/>
          <w:sz w:val="24"/>
          <w:szCs w:val="24"/>
        </w:rPr>
        <w:t>Okotie</w:t>
      </w:r>
      <w:proofErr w:type="spellEnd"/>
      <w:r w:rsidR="00894266" w:rsidRPr="00894266">
        <w:rPr>
          <w:rFonts w:ascii="Times New Roman" w:hAnsi="Times New Roman" w:cs="Times New Roman"/>
          <w:b/>
          <w:i/>
          <w:sz w:val="24"/>
          <w:szCs w:val="24"/>
        </w:rPr>
        <w:t xml:space="preserve"> &amp; </w:t>
      </w:r>
      <w:proofErr w:type="spellStart"/>
      <w:r w:rsidR="00894266" w:rsidRPr="00894266">
        <w:rPr>
          <w:rFonts w:ascii="Times New Roman" w:hAnsi="Times New Roman" w:cs="Times New Roman"/>
          <w:b/>
          <w:i/>
          <w:sz w:val="24"/>
          <w:szCs w:val="24"/>
        </w:rPr>
        <w:t>Ors</w:t>
      </w:r>
      <w:proofErr w:type="spellEnd"/>
      <w:r w:rsidRPr="005A3166">
        <w:rPr>
          <w:rFonts w:ascii="Times New Roman" w:hAnsi="Times New Roman" w:cs="Times New Roman"/>
          <w:sz w:val="24"/>
          <w:szCs w:val="24"/>
        </w:rPr>
        <w:t>,</w:t>
      </w:r>
      <w:r w:rsidR="00894266">
        <w:rPr>
          <w:rStyle w:val="FootnoteReference"/>
          <w:rFonts w:ascii="Times New Roman" w:hAnsi="Times New Roman" w:cs="Times New Roman"/>
          <w:sz w:val="24"/>
          <w:szCs w:val="24"/>
        </w:rPr>
        <w:footnoteReference w:id="17"/>
      </w:r>
      <w:r w:rsidRPr="005A3166">
        <w:rPr>
          <w:rFonts w:ascii="Times New Roman" w:hAnsi="Times New Roman" w:cs="Times New Roman"/>
          <w:sz w:val="24"/>
          <w:szCs w:val="24"/>
        </w:rPr>
        <w:t xml:space="preserve"> it was held that mere suspicion will not furnish evidence of the existence of reasonable and probable cause.</w:t>
      </w:r>
    </w:p>
    <w:p w:rsidR="00B323C0" w:rsidRDefault="005A3166" w:rsidP="005A3166">
      <w:pPr>
        <w:spacing w:line="480" w:lineRule="auto"/>
        <w:jc w:val="both"/>
        <w:rPr>
          <w:rFonts w:ascii="Times New Roman" w:hAnsi="Times New Roman" w:cs="Times New Roman"/>
          <w:sz w:val="24"/>
          <w:szCs w:val="24"/>
        </w:rPr>
      </w:pPr>
      <w:r w:rsidRPr="005A3166">
        <w:rPr>
          <w:rFonts w:ascii="Times New Roman" w:hAnsi="Times New Roman" w:cs="Times New Roman"/>
          <w:sz w:val="24"/>
          <w:szCs w:val="24"/>
        </w:rPr>
        <w:lastRenderedPageBreak/>
        <w:t>It is for the plaintiff to establish lack of reasonable and probable cause not for the defendant to prove its existence.</w:t>
      </w:r>
    </w:p>
    <w:p w:rsidR="00C13BB6" w:rsidRPr="00636FB3" w:rsidRDefault="00C13BB6" w:rsidP="00C13BB6">
      <w:pPr>
        <w:pStyle w:val="ListParagraph"/>
        <w:spacing w:line="480" w:lineRule="auto"/>
        <w:ind w:left="1080"/>
        <w:jc w:val="both"/>
        <w:rPr>
          <w:rFonts w:ascii="Times New Roman" w:hAnsi="Times New Roman" w:cs="Times New Roman"/>
          <w:b/>
          <w:sz w:val="24"/>
          <w:szCs w:val="24"/>
        </w:rPr>
      </w:pPr>
      <w:r w:rsidRPr="00636FB3">
        <w:rPr>
          <w:rFonts w:ascii="Times New Roman" w:hAnsi="Times New Roman" w:cs="Times New Roman"/>
          <w:b/>
          <w:sz w:val="24"/>
          <w:szCs w:val="24"/>
        </w:rPr>
        <w:t>iv. That the defendant acted maliciously</w:t>
      </w:r>
    </w:p>
    <w:p w:rsidR="00C13BB6" w:rsidRDefault="004405A5" w:rsidP="00C13BB6">
      <w:pPr>
        <w:spacing w:line="480" w:lineRule="auto"/>
        <w:jc w:val="both"/>
        <w:rPr>
          <w:rFonts w:ascii="Times New Roman" w:hAnsi="Times New Roman" w:cs="Times New Roman"/>
          <w:sz w:val="24"/>
          <w:szCs w:val="24"/>
        </w:rPr>
      </w:pPr>
      <w:r w:rsidRPr="004405A5">
        <w:rPr>
          <w:rFonts w:ascii="Times New Roman" w:hAnsi="Times New Roman" w:cs="Times New Roman"/>
          <w:sz w:val="24"/>
          <w:szCs w:val="24"/>
        </w:rPr>
        <w:t>This simply means that the complainant was actuated by an improper motive for prosecution. The proper motive is the desire to secure the ends of justice. Anything outside it is malicious.</w:t>
      </w:r>
    </w:p>
    <w:p w:rsidR="00DA0E09" w:rsidRDefault="00981EF3" w:rsidP="00C13BB6">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words the term ‘malice’ connotes an improper</w:t>
      </w:r>
      <w:r w:rsidR="00401407">
        <w:rPr>
          <w:rFonts w:ascii="Times New Roman" w:hAnsi="Times New Roman" w:cs="Times New Roman"/>
          <w:sz w:val="24"/>
          <w:szCs w:val="24"/>
        </w:rPr>
        <w:t xml:space="preserve"> and indirect</w:t>
      </w:r>
      <w:r>
        <w:rPr>
          <w:rFonts w:ascii="Times New Roman" w:hAnsi="Times New Roman" w:cs="Times New Roman"/>
          <w:sz w:val="24"/>
          <w:szCs w:val="24"/>
        </w:rPr>
        <w:t xml:space="preserve"> motive</w:t>
      </w:r>
      <w:r w:rsidR="00401407">
        <w:rPr>
          <w:rFonts w:ascii="Times New Roman" w:hAnsi="Times New Roman" w:cs="Times New Roman"/>
          <w:sz w:val="24"/>
          <w:szCs w:val="24"/>
        </w:rPr>
        <w:t xml:space="preserve"> and in relation to malicious prosecution means that a party sets the law in motion based on improper motive.</w:t>
      </w:r>
    </w:p>
    <w:p w:rsidR="00DA0E09" w:rsidRDefault="00981EF3" w:rsidP="00DA0E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E09" w:rsidRPr="00DA0E09">
        <w:rPr>
          <w:rFonts w:ascii="Times New Roman" w:hAnsi="Times New Roman" w:cs="Times New Roman"/>
          <w:sz w:val="24"/>
          <w:szCs w:val="24"/>
        </w:rPr>
        <w:t>The burden on the plaintiff to prove malice was succinctly stated by Bowen L.J in</w:t>
      </w:r>
      <w:r w:rsidR="00DA0E09">
        <w:rPr>
          <w:rFonts w:ascii="Times New Roman" w:hAnsi="Times New Roman" w:cs="Times New Roman"/>
          <w:sz w:val="24"/>
          <w:szCs w:val="24"/>
        </w:rPr>
        <w:t xml:space="preserve"> </w:t>
      </w:r>
      <w:proofErr w:type="spellStart"/>
      <w:r w:rsidR="00AF18D6" w:rsidRPr="00AF18D6">
        <w:rPr>
          <w:rFonts w:ascii="Times New Roman" w:hAnsi="Times New Roman" w:cs="Times New Roman"/>
          <w:b/>
          <w:i/>
          <w:sz w:val="24"/>
          <w:szCs w:val="24"/>
        </w:rPr>
        <w:t>Arbrath</w:t>
      </w:r>
      <w:proofErr w:type="spellEnd"/>
      <w:r w:rsidR="00AF18D6" w:rsidRPr="00AF18D6">
        <w:rPr>
          <w:rFonts w:ascii="Times New Roman" w:hAnsi="Times New Roman" w:cs="Times New Roman"/>
          <w:b/>
          <w:i/>
          <w:sz w:val="24"/>
          <w:szCs w:val="24"/>
        </w:rPr>
        <w:t xml:space="preserve"> V. North Easter Rly Co</w:t>
      </w:r>
      <w:r w:rsidR="00DA0E09" w:rsidRPr="00DA0E09">
        <w:rPr>
          <w:rFonts w:ascii="Times New Roman" w:hAnsi="Times New Roman" w:cs="Times New Roman"/>
          <w:sz w:val="24"/>
          <w:szCs w:val="24"/>
        </w:rPr>
        <w:t>,</w:t>
      </w:r>
      <w:r w:rsidR="00DA0E09">
        <w:rPr>
          <w:rStyle w:val="FootnoteReference"/>
          <w:rFonts w:ascii="Times New Roman" w:hAnsi="Times New Roman" w:cs="Times New Roman"/>
          <w:sz w:val="24"/>
          <w:szCs w:val="24"/>
        </w:rPr>
        <w:footnoteReference w:id="18"/>
      </w:r>
      <w:r w:rsidR="00DA0E09" w:rsidRPr="00DA0E09">
        <w:rPr>
          <w:rFonts w:ascii="Times New Roman" w:hAnsi="Times New Roman" w:cs="Times New Roman"/>
          <w:sz w:val="24"/>
          <w:szCs w:val="24"/>
        </w:rPr>
        <w:t xml:space="preserve"> where he stated that the plaintiff must show “that the proceedings of which he complains of are instituted in malicious </w:t>
      </w:r>
      <w:r w:rsidR="00AF18D6" w:rsidRPr="00DA0E09">
        <w:rPr>
          <w:rFonts w:ascii="Times New Roman" w:hAnsi="Times New Roman" w:cs="Times New Roman"/>
          <w:sz w:val="24"/>
          <w:szCs w:val="24"/>
        </w:rPr>
        <w:t>spirit that</w:t>
      </w:r>
      <w:r w:rsidR="00DA0E09" w:rsidRPr="00DA0E09">
        <w:rPr>
          <w:rFonts w:ascii="Times New Roman" w:hAnsi="Times New Roman" w:cs="Times New Roman"/>
          <w:sz w:val="24"/>
          <w:szCs w:val="24"/>
        </w:rPr>
        <w:t xml:space="preserve"> is from an indirect and improper motive and not in furtherance of justice. Unless he so proves, the plaintiff cannot succeed in an action for malicious prosecution.”</w:t>
      </w:r>
    </w:p>
    <w:p w:rsidR="00AF18D6" w:rsidRDefault="00732D50" w:rsidP="00DA0E09">
      <w:pPr>
        <w:spacing w:line="480" w:lineRule="auto"/>
        <w:jc w:val="both"/>
        <w:rPr>
          <w:rFonts w:ascii="Times New Roman" w:hAnsi="Times New Roman" w:cs="Times New Roman"/>
          <w:sz w:val="24"/>
          <w:szCs w:val="24"/>
        </w:rPr>
      </w:pPr>
      <w:r w:rsidRPr="00732D50">
        <w:rPr>
          <w:rFonts w:ascii="Times New Roman" w:hAnsi="Times New Roman" w:cs="Times New Roman"/>
          <w:sz w:val="24"/>
          <w:szCs w:val="24"/>
        </w:rPr>
        <w:t xml:space="preserve">In </w:t>
      </w:r>
      <w:proofErr w:type="spellStart"/>
      <w:r w:rsidRPr="00732D50">
        <w:rPr>
          <w:rFonts w:ascii="Times New Roman" w:hAnsi="Times New Roman" w:cs="Times New Roman"/>
          <w:b/>
          <w:i/>
          <w:sz w:val="24"/>
          <w:szCs w:val="24"/>
        </w:rPr>
        <w:t>Ogbonna</w:t>
      </w:r>
      <w:proofErr w:type="spellEnd"/>
      <w:r w:rsidRPr="00732D50">
        <w:rPr>
          <w:rFonts w:ascii="Times New Roman" w:hAnsi="Times New Roman" w:cs="Times New Roman"/>
          <w:b/>
          <w:i/>
          <w:sz w:val="24"/>
          <w:szCs w:val="24"/>
        </w:rPr>
        <w:t xml:space="preserve"> V. </w:t>
      </w:r>
      <w:proofErr w:type="spellStart"/>
      <w:r w:rsidRPr="00732D50">
        <w:rPr>
          <w:rFonts w:ascii="Times New Roman" w:hAnsi="Times New Roman" w:cs="Times New Roman"/>
          <w:b/>
          <w:i/>
          <w:sz w:val="24"/>
          <w:szCs w:val="24"/>
        </w:rPr>
        <w:t>Ogbonna</w:t>
      </w:r>
      <w:proofErr w:type="spellEnd"/>
      <w:r w:rsidRPr="00732D50">
        <w:rPr>
          <w:rFonts w:ascii="Times New Roman" w:hAnsi="Times New Roman" w:cs="Times New Roman"/>
          <w:b/>
          <w:i/>
          <w:sz w:val="24"/>
          <w:szCs w:val="24"/>
        </w:rPr>
        <w:t xml:space="preserve"> &amp; </w:t>
      </w:r>
      <w:proofErr w:type="spellStart"/>
      <w:r w:rsidRPr="00732D50">
        <w:rPr>
          <w:rFonts w:ascii="Times New Roman" w:hAnsi="Times New Roman" w:cs="Times New Roman"/>
          <w:b/>
          <w:i/>
          <w:sz w:val="24"/>
          <w:szCs w:val="24"/>
        </w:rPr>
        <w:t>Anor</w:t>
      </w:r>
      <w:proofErr w:type="spellEnd"/>
      <w:r w:rsidRPr="00732D50">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732D50">
        <w:rPr>
          <w:rFonts w:ascii="Times New Roman" w:hAnsi="Times New Roman" w:cs="Times New Roman"/>
          <w:sz w:val="24"/>
          <w:szCs w:val="24"/>
        </w:rPr>
        <w:t xml:space="preserve"> the appellant said under cross examination that the main complaint before the Chief Magistrate was the threat to his life and that of his half-brother Barnabas. The court based on that record observed and stated that it appears to expose the dishonesty and mischief behind the complaint by the Appellant, to the effect that the allegation of threat to his life and that of Barnabas was not well founded; that it was fuelled by malice. If Barnabas, whose life was also (allegedly) threatened, comes out to say that he did not know the substance of the case, and that he begged the Appellant to withdraw at the Magistrate’s Court, then the real intention of the Appellant in subjecting his half-brothers (Respondents) and their </w:t>
      </w:r>
      <w:r w:rsidRPr="00732D50">
        <w:rPr>
          <w:rFonts w:ascii="Times New Roman" w:hAnsi="Times New Roman" w:cs="Times New Roman"/>
          <w:sz w:val="24"/>
          <w:szCs w:val="24"/>
        </w:rPr>
        <w:lastRenderedPageBreak/>
        <w:t>mother to the ordeal of arrests and detention and subsequent prosecution, went beyond the allegation of threat to his life.</w:t>
      </w:r>
    </w:p>
    <w:p w:rsidR="00636FB3" w:rsidRDefault="00636FB3" w:rsidP="00DA0E0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FB39DD">
        <w:rPr>
          <w:rFonts w:ascii="Times New Roman" w:hAnsi="Times New Roman" w:cs="Times New Roman"/>
          <w:b/>
          <w:sz w:val="24"/>
          <w:szCs w:val="24"/>
        </w:rPr>
        <w:t>3 Damages in a Malicious Prosecution Case</w:t>
      </w:r>
    </w:p>
    <w:p w:rsidR="00CE7546" w:rsidRDefault="009A0584" w:rsidP="00DA0E09">
      <w:pPr>
        <w:spacing w:line="480" w:lineRule="auto"/>
        <w:jc w:val="both"/>
        <w:rPr>
          <w:rFonts w:ascii="Times New Roman" w:hAnsi="Times New Roman" w:cs="Times New Roman"/>
          <w:sz w:val="24"/>
          <w:szCs w:val="24"/>
        </w:rPr>
      </w:pPr>
      <w:r w:rsidRPr="009A0584">
        <w:rPr>
          <w:rFonts w:ascii="Times New Roman" w:hAnsi="Times New Roman" w:cs="Times New Roman"/>
          <w:sz w:val="24"/>
          <w:szCs w:val="24"/>
        </w:rPr>
        <w:t>In the event of a malicious prosecution case, the plaintiff can be awarded compensation from the defendant for punitive damages, as well as injuries to their well-being. For a civil suit, these injuries can include economic loss from mounting legal fees and time off work, harm to their reputation, and harm to their credit, humiliation, and mental suffering. In a malicious prosecution case brought forth from an original criminal case, the aforementioned injuries can be taken into account along with loss of time, health deterioration, and deprivat</w:t>
      </w:r>
      <w:r w:rsidR="00F5759C">
        <w:rPr>
          <w:rFonts w:ascii="Times New Roman" w:hAnsi="Times New Roman" w:cs="Times New Roman"/>
          <w:sz w:val="24"/>
          <w:szCs w:val="24"/>
        </w:rPr>
        <w:t>ion from society and loved ones.</w:t>
      </w:r>
    </w:p>
    <w:p w:rsidR="00F5759C" w:rsidRDefault="00F5759C" w:rsidP="00DA0E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w:t>
      </w:r>
      <w:r w:rsidR="00C1046E">
        <w:rPr>
          <w:rFonts w:ascii="Times New Roman" w:hAnsi="Times New Roman" w:cs="Times New Roman"/>
          <w:sz w:val="24"/>
          <w:szCs w:val="24"/>
        </w:rPr>
        <w:t>i</w:t>
      </w:r>
      <w:r w:rsidR="00C1046E" w:rsidRPr="00C1046E">
        <w:rPr>
          <w:rFonts w:ascii="Times New Roman" w:hAnsi="Times New Roman" w:cs="Times New Roman"/>
          <w:sz w:val="24"/>
          <w:szCs w:val="24"/>
        </w:rPr>
        <w:t>n all cases of malicious prosecution the plaintiff must prove that by virtue of the prosecution against him he suffered damage either to his reputation, person or property. He must satisfy the court either that he was corporally punished or imprisoned or that he had been in jeopardy of such punishment or that he incurred cost in the course of the prosecution.</w:t>
      </w:r>
    </w:p>
    <w:p w:rsidR="004D31A3" w:rsidRPr="004D31A3" w:rsidRDefault="004D31A3" w:rsidP="004D31A3">
      <w:pPr>
        <w:spacing w:line="480" w:lineRule="auto"/>
        <w:jc w:val="both"/>
        <w:rPr>
          <w:rFonts w:ascii="Times New Roman" w:hAnsi="Times New Roman" w:cs="Times New Roman"/>
          <w:sz w:val="24"/>
          <w:szCs w:val="24"/>
        </w:rPr>
      </w:pPr>
      <w:r w:rsidRPr="004D31A3">
        <w:rPr>
          <w:rFonts w:ascii="Times New Roman" w:hAnsi="Times New Roman" w:cs="Times New Roman"/>
          <w:sz w:val="24"/>
          <w:szCs w:val="24"/>
        </w:rPr>
        <w:t xml:space="preserve">In </w:t>
      </w:r>
      <w:proofErr w:type="spellStart"/>
      <w:r w:rsidR="00CE7D51" w:rsidRPr="00CE7D51">
        <w:rPr>
          <w:rFonts w:ascii="Times New Roman" w:hAnsi="Times New Roman" w:cs="Times New Roman"/>
          <w:b/>
          <w:i/>
          <w:sz w:val="24"/>
          <w:szCs w:val="24"/>
        </w:rPr>
        <w:t>Ogbonna</w:t>
      </w:r>
      <w:proofErr w:type="spellEnd"/>
      <w:r w:rsidR="00CE7D51" w:rsidRPr="00CE7D51">
        <w:rPr>
          <w:rFonts w:ascii="Times New Roman" w:hAnsi="Times New Roman" w:cs="Times New Roman"/>
          <w:b/>
          <w:i/>
          <w:sz w:val="24"/>
          <w:szCs w:val="24"/>
        </w:rPr>
        <w:t xml:space="preserve"> V. </w:t>
      </w:r>
      <w:proofErr w:type="spellStart"/>
      <w:r w:rsidR="00CE7D51" w:rsidRPr="00CE7D51">
        <w:rPr>
          <w:rFonts w:ascii="Times New Roman" w:hAnsi="Times New Roman" w:cs="Times New Roman"/>
          <w:b/>
          <w:i/>
          <w:sz w:val="24"/>
          <w:szCs w:val="24"/>
        </w:rPr>
        <w:t>Ogbonna</w:t>
      </w:r>
      <w:proofErr w:type="spellEnd"/>
      <w:r w:rsidR="00CE7D51" w:rsidRPr="00CE7D51">
        <w:rPr>
          <w:rFonts w:ascii="Times New Roman" w:hAnsi="Times New Roman" w:cs="Times New Roman"/>
          <w:b/>
          <w:i/>
          <w:sz w:val="24"/>
          <w:szCs w:val="24"/>
        </w:rPr>
        <w:t xml:space="preserve"> &amp; </w:t>
      </w:r>
      <w:proofErr w:type="spellStart"/>
      <w:r w:rsidR="00CE7D51" w:rsidRPr="00CE7D51">
        <w:rPr>
          <w:rFonts w:ascii="Times New Roman" w:hAnsi="Times New Roman" w:cs="Times New Roman"/>
          <w:b/>
          <w:i/>
          <w:sz w:val="24"/>
          <w:szCs w:val="24"/>
        </w:rPr>
        <w:t>Anor</w:t>
      </w:r>
      <w:proofErr w:type="spellEnd"/>
      <w:r w:rsidRPr="004D31A3">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4D31A3">
        <w:rPr>
          <w:rFonts w:ascii="Times New Roman" w:hAnsi="Times New Roman" w:cs="Times New Roman"/>
          <w:sz w:val="24"/>
          <w:szCs w:val="24"/>
        </w:rPr>
        <w:t xml:space="preserve"> the respondent was able to satisfy the court that he and his mother suffered damage, for the were detained in the police cell at </w:t>
      </w:r>
      <w:proofErr w:type="spellStart"/>
      <w:r w:rsidRPr="004D31A3">
        <w:rPr>
          <w:rFonts w:ascii="Times New Roman" w:hAnsi="Times New Roman" w:cs="Times New Roman"/>
          <w:sz w:val="24"/>
          <w:szCs w:val="24"/>
        </w:rPr>
        <w:t>Kafanchan</w:t>
      </w:r>
      <w:proofErr w:type="spellEnd"/>
      <w:r w:rsidRPr="004D31A3">
        <w:rPr>
          <w:rFonts w:ascii="Times New Roman" w:hAnsi="Times New Roman" w:cs="Times New Roman"/>
          <w:sz w:val="24"/>
          <w:szCs w:val="24"/>
        </w:rPr>
        <w:t xml:space="preserve"> on several occasions, he had to part with some amount of money in order to bail himself out and also the money he had expended as legal fees. The Court of Appeal in this case upheld both the general and special damages awarded by the lower court.</w:t>
      </w:r>
    </w:p>
    <w:p w:rsidR="00457053" w:rsidRDefault="004D31A3" w:rsidP="004D31A3">
      <w:pPr>
        <w:spacing w:line="480" w:lineRule="auto"/>
        <w:jc w:val="both"/>
        <w:rPr>
          <w:rFonts w:ascii="Times New Roman" w:hAnsi="Times New Roman" w:cs="Times New Roman"/>
          <w:sz w:val="24"/>
          <w:szCs w:val="24"/>
        </w:rPr>
      </w:pPr>
      <w:r w:rsidRPr="004D31A3">
        <w:rPr>
          <w:rFonts w:ascii="Times New Roman" w:hAnsi="Times New Roman" w:cs="Times New Roman"/>
          <w:sz w:val="24"/>
          <w:szCs w:val="24"/>
        </w:rPr>
        <w:lastRenderedPageBreak/>
        <w:t>If the plaintiff had been prosecuted for any crime which could lead to imprisonment for instance, it does not matter that he was not actually imprisoned, this is sufficient damage to his person.</w:t>
      </w:r>
    </w:p>
    <w:p w:rsidR="00530C23" w:rsidRPr="001A4914" w:rsidRDefault="00D07520" w:rsidP="00D07520">
      <w:pPr>
        <w:pStyle w:val="ListParagraph"/>
        <w:numPr>
          <w:ilvl w:val="1"/>
          <w:numId w:val="4"/>
        </w:numPr>
        <w:spacing w:line="480" w:lineRule="auto"/>
        <w:jc w:val="both"/>
        <w:rPr>
          <w:rFonts w:ascii="Times New Roman" w:hAnsi="Times New Roman" w:cs="Times New Roman"/>
          <w:b/>
          <w:sz w:val="24"/>
          <w:szCs w:val="24"/>
        </w:rPr>
      </w:pPr>
      <w:r w:rsidRPr="001A4914">
        <w:rPr>
          <w:rFonts w:ascii="Times New Roman" w:hAnsi="Times New Roman" w:cs="Times New Roman"/>
          <w:b/>
          <w:sz w:val="24"/>
          <w:szCs w:val="24"/>
        </w:rPr>
        <w:t>Defences for Malicious Prosecution</w:t>
      </w:r>
    </w:p>
    <w:p w:rsidR="00286887" w:rsidRDefault="00F61112" w:rsidP="00F611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can be possible </w:t>
      </w:r>
      <w:r w:rsidR="00BB6C17">
        <w:rPr>
          <w:rFonts w:ascii="Times New Roman" w:hAnsi="Times New Roman" w:cs="Times New Roman"/>
          <w:sz w:val="24"/>
          <w:szCs w:val="24"/>
        </w:rPr>
        <w:t xml:space="preserve">that there is a reasonable cause for the prosecution of the </w:t>
      </w:r>
      <w:r w:rsidR="00C80036">
        <w:rPr>
          <w:rFonts w:ascii="Times New Roman" w:hAnsi="Times New Roman" w:cs="Times New Roman"/>
          <w:sz w:val="24"/>
          <w:szCs w:val="24"/>
        </w:rPr>
        <w:t>accused</w:t>
      </w:r>
      <w:r w:rsidR="00286887">
        <w:rPr>
          <w:rFonts w:ascii="Times New Roman" w:hAnsi="Times New Roman" w:cs="Times New Roman"/>
          <w:sz w:val="24"/>
          <w:szCs w:val="24"/>
        </w:rPr>
        <w:t xml:space="preserve"> which is justifiable under the law. This discourse will now focus on some of these </w:t>
      </w:r>
      <w:proofErr w:type="spellStart"/>
      <w:r w:rsidR="00286887">
        <w:rPr>
          <w:rFonts w:ascii="Times New Roman" w:hAnsi="Times New Roman" w:cs="Times New Roman"/>
          <w:sz w:val="24"/>
          <w:szCs w:val="24"/>
        </w:rPr>
        <w:t>defences</w:t>
      </w:r>
      <w:proofErr w:type="spellEnd"/>
      <w:r w:rsidR="00286887">
        <w:rPr>
          <w:rFonts w:ascii="Times New Roman" w:hAnsi="Times New Roman" w:cs="Times New Roman"/>
          <w:sz w:val="24"/>
          <w:szCs w:val="24"/>
        </w:rPr>
        <w:t xml:space="preserve"> thus:</w:t>
      </w:r>
    </w:p>
    <w:p w:rsidR="00D07520" w:rsidRDefault="00BD51F4"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Reasoanble</w:t>
      </w:r>
      <w:bookmarkStart w:id="0" w:name="_GoBack"/>
      <w:bookmarkEnd w:id="0"/>
      <w:r>
        <w:rPr>
          <w:rFonts w:ascii="Times New Roman" w:hAnsi="Times New Roman" w:cs="Times New Roman"/>
          <w:sz w:val="24"/>
          <w:szCs w:val="24"/>
        </w:rPr>
        <w:t xml:space="preserve"> suspicion that the plaintiff </w:t>
      </w:r>
      <w:r w:rsidR="00F701B2">
        <w:rPr>
          <w:rFonts w:ascii="Times New Roman" w:hAnsi="Times New Roman" w:cs="Times New Roman"/>
          <w:sz w:val="24"/>
          <w:szCs w:val="24"/>
        </w:rPr>
        <w:t xml:space="preserve">committed the alleged crime </w:t>
      </w:r>
      <w:r w:rsidR="00970F76">
        <w:rPr>
          <w:rFonts w:ascii="Times New Roman" w:hAnsi="Times New Roman" w:cs="Times New Roman"/>
          <w:sz w:val="24"/>
          <w:szCs w:val="24"/>
        </w:rPr>
        <w:t>for which he was prosecuted</w:t>
      </w:r>
      <w:r w:rsidR="00DC5A83">
        <w:rPr>
          <w:rFonts w:ascii="Times New Roman" w:hAnsi="Times New Roman" w:cs="Times New Roman"/>
          <w:sz w:val="24"/>
          <w:szCs w:val="24"/>
        </w:rPr>
        <w:t xml:space="preserve">. </w:t>
      </w:r>
      <w:r w:rsidR="00C80036" w:rsidRPr="00BD51F4">
        <w:rPr>
          <w:rFonts w:ascii="Times New Roman" w:hAnsi="Times New Roman" w:cs="Times New Roman"/>
          <w:sz w:val="24"/>
          <w:szCs w:val="24"/>
        </w:rPr>
        <w:t xml:space="preserve"> </w:t>
      </w:r>
      <w:r w:rsidR="00BB6C17" w:rsidRPr="00BD51F4">
        <w:rPr>
          <w:rFonts w:ascii="Times New Roman" w:hAnsi="Times New Roman" w:cs="Times New Roman"/>
          <w:sz w:val="24"/>
          <w:szCs w:val="24"/>
        </w:rPr>
        <w:t xml:space="preserve"> </w:t>
      </w:r>
      <w:r w:rsidR="00DC5A83" w:rsidRPr="00DC5A83">
        <w:rPr>
          <w:rFonts w:ascii="Times New Roman" w:hAnsi="Times New Roman" w:cs="Times New Roman"/>
          <w:sz w:val="24"/>
          <w:szCs w:val="24"/>
        </w:rPr>
        <w:t>A reasonable and probable cause entails the defendant having in his position as a reasonable and sane person a set of fact which to an ordinary man will lead to the conclusion that the plaintiff has committed a criminal offence</w:t>
      </w:r>
      <w:r w:rsidR="00DC5A83">
        <w:rPr>
          <w:rFonts w:ascii="Times New Roman" w:hAnsi="Times New Roman" w:cs="Times New Roman"/>
          <w:sz w:val="24"/>
          <w:szCs w:val="24"/>
        </w:rPr>
        <w:t xml:space="preserve"> is a good defence.</w:t>
      </w:r>
    </w:p>
    <w:p w:rsidR="00DE551E" w:rsidRDefault="00DE551E"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C560A8">
        <w:rPr>
          <w:rFonts w:ascii="Times New Roman" w:hAnsi="Times New Roman" w:cs="Times New Roman"/>
          <w:sz w:val="24"/>
          <w:szCs w:val="24"/>
        </w:rPr>
        <w:t>plaintiff contributed to the situation through a misleading conducts</w:t>
      </w:r>
      <w:r w:rsidR="00D37F4F">
        <w:rPr>
          <w:rFonts w:ascii="Times New Roman" w:hAnsi="Times New Roman" w:cs="Times New Roman"/>
          <w:sz w:val="24"/>
          <w:szCs w:val="24"/>
        </w:rPr>
        <w:t xml:space="preserve"> </w:t>
      </w:r>
      <w:r w:rsidR="0062446C">
        <w:rPr>
          <w:rFonts w:ascii="Times New Roman" w:hAnsi="Times New Roman" w:cs="Times New Roman"/>
          <w:sz w:val="24"/>
          <w:szCs w:val="24"/>
        </w:rPr>
        <w:t xml:space="preserve">which created the false impression which formed </w:t>
      </w:r>
      <w:r w:rsidR="00475457">
        <w:rPr>
          <w:rFonts w:ascii="Times New Roman" w:hAnsi="Times New Roman" w:cs="Times New Roman"/>
          <w:sz w:val="24"/>
          <w:szCs w:val="24"/>
        </w:rPr>
        <w:t xml:space="preserve">the basis for the reasonable </w:t>
      </w:r>
      <w:r w:rsidR="0031473C">
        <w:rPr>
          <w:rFonts w:ascii="Times New Roman" w:hAnsi="Times New Roman" w:cs="Times New Roman"/>
          <w:sz w:val="24"/>
          <w:szCs w:val="24"/>
        </w:rPr>
        <w:t xml:space="preserve">suspicion </w:t>
      </w:r>
      <w:r w:rsidR="00E42421">
        <w:rPr>
          <w:rFonts w:ascii="Times New Roman" w:hAnsi="Times New Roman" w:cs="Times New Roman"/>
          <w:sz w:val="24"/>
          <w:szCs w:val="24"/>
        </w:rPr>
        <w:t xml:space="preserve">and prosecution </w:t>
      </w:r>
      <w:r w:rsidR="00D03EA8">
        <w:rPr>
          <w:rFonts w:ascii="Times New Roman" w:hAnsi="Times New Roman" w:cs="Times New Roman"/>
          <w:sz w:val="24"/>
          <w:szCs w:val="24"/>
        </w:rPr>
        <w:t>for the alleged crime.</w:t>
      </w:r>
    </w:p>
    <w:p w:rsidR="008B5080" w:rsidRDefault="008B5080"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Preservation of the security of the state</w:t>
      </w:r>
      <w:r>
        <w:rPr>
          <w:rStyle w:val="FootnoteReference"/>
          <w:rFonts w:ascii="Times New Roman" w:hAnsi="Times New Roman" w:cs="Times New Roman"/>
          <w:sz w:val="24"/>
          <w:szCs w:val="24"/>
        </w:rPr>
        <w:footnoteReference w:id="21"/>
      </w:r>
    </w:p>
    <w:p w:rsidR="003D1856" w:rsidRDefault="003D1856"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Judicial immunity</w:t>
      </w:r>
      <w:r>
        <w:rPr>
          <w:rStyle w:val="FootnoteReference"/>
          <w:rFonts w:ascii="Times New Roman" w:hAnsi="Times New Roman" w:cs="Times New Roman"/>
          <w:sz w:val="24"/>
          <w:szCs w:val="24"/>
        </w:rPr>
        <w:footnoteReference w:id="22"/>
      </w:r>
    </w:p>
    <w:p w:rsidR="00CE6B44" w:rsidRDefault="00CE6B44"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case is statute bar.</w:t>
      </w:r>
      <w:r>
        <w:rPr>
          <w:rStyle w:val="FootnoteReference"/>
          <w:rFonts w:ascii="Times New Roman" w:hAnsi="Times New Roman" w:cs="Times New Roman"/>
          <w:sz w:val="24"/>
          <w:szCs w:val="24"/>
        </w:rPr>
        <w:footnoteReference w:id="23"/>
      </w:r>
    </w:p>
    <w:p w:rsidR="00DA3F2D" w:rsidRPr="00BD51F4" w:rsidRDefault="00DA3F2D" w:rsidP="00DC5A8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1F47D7">
        <w:rPr>
          <w:rFonts w:ascii="Times New Roman" w:hAnsi="Times New Roman" w:cs="Times New Roman"/>
          <w:sz w:val="24"/>
          <w:szCs w:val="24"/>
        </w:rPr>
        <w:t xml:space="preserve">prosecution </w:t>
      </w:r>
      <w:r w:rsidR="00A427D9">
        <w:rPr>
          <w:rFonts w:ascii="Times New Roman" w:hAnsi="Times New Roman" w:cs="Times New Roman"/>
          <w:sz w:val="24"/>
          <w:szCs w:val="24"/>
        </w:rPr>
        <w:t>was an act of the officers of the law.</w:t>
      </w:r>
      <w:r w:rsidR="00A427D9">
        <w:rPr>
          <w:rStyle w:val="FootnoteReference"/>
          <w:rFonts w:ascii="Times New Roman" w:hAnsi="Times New Roman" w:cs="Times New Roman"/>
          <w:sz w:val="24"/>
          <w:szCs w:val="24"/>
        </w:rPr>
        <w:footnoteReference w:id="24"/>
      </w:r>
    </w:p>
    <w:p w:rsidR="00F5759C" w:rsidRDefault="00F5759C" w:rsidP="00DA0E09">
      <w:pPr>
        <w:spacing w:line="480" w:lineRule="auto"/>
        <w:jc w:val="both"/>
        <w:rPr>
          <w:rFonts w:ascii="Times New Roman" w:hAnsi="Times New Roman" w:cs="Times New Roman"/>
          <w:sz w:val="24"/>
          <w:szCs w:val="24"/>
        </w:rPr>
      </w:pPr>
    </w:p>
    <w:p w:rsidR="00DA33BE" w:rsidRPr="00DA0E09" w:rsidRDefault="00DA33BE" w:rsidP="00DA0E09">
      <w:pPr>
        <w:spacing w:line="480" w:lineRule="auto"/>
        <w:jc w:val="both"/>
        <w:rPr>
          <w:rFonts w:ascii="Times New Roman" w:hAnsi="Times New Roman" w:cs="Times New Roman"/>
          <w:sz w:val="24"/>
          <w:szCs w:val="24"/>
        </w:rPr>
      </w:pPr>
    </w:p>
    <w:p w:rsidR="004405A5" w:rsidRPr="00C13BB6" w:rsidRDefault="004405A5" w:rsidP="00C13BB6">
      <w:pPr>
        <w:spacing w:line="480" w:lineRule="auto"/>
        <w:jc w:val="both"/>
        <w:rPr>
          <w:rFonts w:ascii="Times New Roman" w:hAnsi="Times New Roman" w:cs="Times New Roman"/>
          <w:sz w:val="24"/>
          <w:szCs w:val="24"/>
        </w:rPr>
      </w:pPr>
    </w:p>
    <w:p w:rsidR="00430A21" w:rsidRDefault="00430A21" w:rsidP="005A3166">
      <w:pPr>
        <w:spacing w:line="480" w:lineRule="auto"/>
        <w:jc w:val="both"/>
        <w:rPr>
          <w:rFonts w:ascii="Times New Roman" w:hAnsi="Times New Roman" w:cs="Times New Roman"/>
          <w:sz w:val="24"/>
          <w:szCs w:val="24"/>
        </w:rPr>
      </w:pPr>
    </w:p>
    <w:p w:rsidR="00F247D3" w:rsidRPr="00790AEB" w:rsidRDefault="00F247D3" w:rsidP="00C7785B">
      <w:pPr>
        <w:spacing w:line="480" w:lineRule="auto"/>
        <w:jc w:val="both"/>
        <w:rPr>
          <w:rFonts w:ascii="Times New Roman" w:hAnsi="Times New Roman" w:cs="Times New Roman"/>
          <w:sz w:val="24"/>
          <w:szCs w:val="24"/>
        </w:rPr>
      </w:pPr>
    </w:p>
    <w:sectPr w:rsidR="00F247D3" w:rsidRPr="00790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8A" w:rsidRDefault="00407B8A" w:rsidP="00741F01">
      <w:pPr>
        <w:spacing w:after="0" w:line="240" w:lineRule="auto"/>
      </w:pPr>
      <w:r>
        <w:separator/>
      </w:r>
    </w:p>
  </w:endnote>
  <w:endnote w:type="continuationSeparator" w:id="0">
    <w:p w:rsidR="00407B8A" w:rsidRDefault="00407B8A" w:rsidP="0074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8A" w:rsidRDefault="00407B8A" w:rsidP="00741F01">
      <w:pPr>
        <w:spacing w:after="0" w:line="240" w:lineRule="auto"/>
      </w:pPr>
      <w:r>
        <w:separator/>
      </w:r>
    </w:p>
  </w:footnote>
  <w:footnote w:type="continuationSeparator" w:id="0">
    <w:p w:rsidR="00407B8A" w:rsidRDefault="00407B8A" w:rsidP="00741F01">
      <w:pPr>
        <w:spacing w:after="0" w:line="240" w:lineRule="auto"/>
      </w:pPr>
      <w:r>
        <w:continuationSeparator/>
      </w:r>
    </w:p>
  </w:footnote>
  <w:footnote w:id="1">
    <w:p w:rsidR="00741F01" w:rsidRDefault="00741F01">
      <w:pPr>
        <w:pStyle w:val="FootnoteText"/>
      </w:pPr>
      <w:r>
        <w:rPr>
          <w:rStyle w:val="FootnoteReference"/>
        </w:rPr>
        <w:footnoteRef/>
      </w:r>
      <w:r>
        <w:t xml:space="preserve"> </w:t>
      </w:r>
      <w:proofErr w:type="gramStart"/>
      <w:r>
        <w:t>(1989)</w:t>
      </w:r>
      <w:r w:rsidR="008D081D">
        <w:t xml:space="preserve"> 3 NWLR </w:t>
      </w:r>
      <w:proofErr w:type="spellStart"/>
      <w:r w:rsidR="006736DD">
        <w:t>pt</w:t>
      </w:r>
      <w:proofErr w:type="spellEnd"/>
      <w:r w:rsidR="006736DD">
        <w:t xml:space="preserve"> 107, </w:t>
      </w:r>
      <w:r w:rsidR="005B3680">
        <w:t>p.18 SC.</w:t>
      </w:r>
      <w:proofErr w:type="gramEnd"/>
    </w:p>
  </w:footnote>
  <w:footnote w:id="2">
    <w:p w:rsidR="0005685A" w:rsidRDefault="0005685A">
      <w:pPr>
        <w:pStyle w:val="FootnoteText"/>
      </w:pPr>
      <w:r>
        <w:rPr>
          <w:rStyle w:val="FootnoteReference"/>
        </w:rPr>
        <w:footnoteRef/>
      </w:r>
      <w:r>
        <w:t xml:space="preserve"> Supra</w:t>
      </w:r>
    </w:p>
  </w:footnote>
  <w:footnote w:id="3">
    <w:p w:rsidR="00AA5040" w:rsidRDefault="00AA5040">
      <w:pPr>
        <w:pStyle w:val="FootnoteText"/>
      </w:pPr>
      <w:r>
        <w:rPr>
          <w:rStyle w:val="FootnoteReference"/>
        </w:rPr>
        <w:footnoteRef/>
      </w:r>
      <w:r>
        <w:t xml:space="preserve"> </w:t>
      </w:r>
      <w:r w:rsidRPr="00AA5040">
        <w:t>(1952) 14 WACA 73</w:t>
      </w:r>
    </w:p>
  </w:footnote>
  <w:footnote w:id="4">
    <w:p w:rsidR="0088294B" w:rsidRDefault="0088294B">
      <w:pPr>
        <w:pStyle w:val="FootnoteText"/>
      </w:pPr>
      <w:r>
        <w:rPr>
          <w:rStyle w:val="FootnoteReference"/>
        </w:rPr>
        <w:footnoteRef/>
      </w:r>
      <w:r>
        <w:t xml:space="preserve"> </w:t>
      </w:r>
      <w:r w:rsidRPr="0088294B">
        <w:t>(2014) LPELR- 22308(CA)</w:t>
      </w:r>
    </w:p>
  </w:footnote>
  <w:footnote w:id="5">
    <w:p w:rsidR="00783B0B" w:rsidRDefault="00783B0B">
      <w:pPr>
        <w:pStyle w:val="FootnoteText"/>
      </w:pPr>
      <w:r>
        <w:rPr>
          <w:rStyle w:val="FootnoteReference"/>
        </w:rPr>
        <w:footnoteRef/>
      </w:r>
      <w:r>
        <w:t xml:space="preserve"> </w:t>
      </w:r>
      <w:r w:rsidRPr="00783B0B">
        <w:t>(1981) 1 ALL E.R. 715</w:t>
      </w:r>
    </w:p>
  </w:footnote>
  <w:footnote w:id="6">
    <w:p w:rsidR="00951A08" w:rsidRDefault="00951A08">
      <w:pPr>
        <w:pStyle w:val="FootnoteText"/>
      </w:pPr>
      <w:r>
        <w:rPr>
          <w:rStyle w:val="FootnoteReference"/>
        </w:rPr>
        <w:footnoteRef/>
      </w:r>
      <w:r>
        <w:t xml:space="preserve"> </w:t>
      </w:r>
      <w:r w:rsidRPr="00951A08">
        <w:t>(1908) 24 T.L.R. 884</w:t>
      </w:r>
    </w:p>
  </w:footnote>
  <w:footnote w:id="7">
    <w:p w:rsidR="00F128C5" w:rsidRDefault="00F128C5">
      <w:pPr>
        <w:pStyle w:val="FootnoteText"/>
      </w:pPr>
      <w:r>
        <w:rPr>
          <w:rStyle w:val="FootnoteReference"/>
        </w:rPr>
        <w:footnoteRef/>
      </w:r>
      <w:r>
        <w:t xml:space="preserve"> Wicks </w:t>
      </w:r>
      <w:r w:rsidR="00876680">
        <w:t xml:space="preserve">v </w:t>
      </w:r>
      <w:proofErr w:type="spellStart"/>
      <w:r w:rsidR="00876680">
        <w:t>Fentham</w:t>
      </w:r>
      <w:proofErr w:type="spellEnd"/>
      <w:r w:rsidR="00876680">
        <w:t xml:space="preserve"> </w:t>
      </w:r>
      <w:r w:rsidR="00610684">
        <w:t xml:space="preserve">(1791) </w:t>
      </w:r>
      <w:r w:rsidR="004054DC">
        <w:t xml:space="preserve">100 </w:t>
      </w:r>
      <w:r w:rsidR="0016642C">
        <w:t xml:space="preserve"> ER 100</w:t>
      </w:r>
    </w:p>
  </w:footnote>
  <w:footnote w:id="8">
    <w:p w:rsidR="004205C5" w:rsidRDefault="004205C5">
      <w:pPr>
        <w:pStyle w:val="FootnoteText"/>
      </w:pPr>
      <w:r>
        <w:rPr>
          <w:rStyle w:val="FootnoteReference"/>
        </w:rPr>
        <w:footnoteRef/>
      </w:r>
      <w:r>
        <w:t xml:space="preserve"> </w:t>
      </w:r>
      <w:proofErr w:type="spellStart"/>
      <w:r>
        <w:t>Boaler</w:t>
      </w:r>
      <w:proofErr w:type="spellEnd"/>
      <w:r>
        <w:t xml:space="preserve"> v </w:t>
      </w:r>
      <w:r w:rsidR="004D7700">
        <w:t xml:space="preserve">Holder </w:t>
      </w:r>
      <w:r w:rsidR="003A7BF5">
        <w:t>(1887)</w:t>
      </w:r>
      <w:r w:rsidR="00692233">
        <w:t xml:space="preserve"> 3 TLR 546</w:t>
      </w:r>
    </w:p>
  </w:footnote>
  <w:footnote w:id="9">
    <w:p w:rsidR="00687702" w:rsidRDefault="00687702">
      <w:pPr>
        <w:pStyle w:val="FootnoteText"/>
      </w:pPr>
      <w:r>
        <w:rPr>
          <w:rStyle w:val="FootnoteReference"/>
        </w:rPr>
        <w:footnoteRef/>
      </w:r>
      <w:r>
        <w:t xml:space="preserve"> Supra</w:t>
      </w:r>
    </w:p>
  </w:footnote>
  <w:footnote w:id="10">
    <w:p w:rsidR="0007089A" w:rsidRDefault="00D963B9">
      <w:pPr>
        <w:pStyle w:val="FootnoteText"/>
      </w:pPr>
      <w:r>
        <w:rPr>
          <w:rStyle w:val="FootnoteReference"/>
        </w:rPr>
        <w:footnoteRef/>
      </w:r>
      <w:r w:rsidR="0007089A">
        <w:rPr>
          <w:rStyle w:val="FootnoteReference"/>
        </w:rPr>
        <w:footnoteRef/>
      </w:r>
      <w:r w:rsidR="00E320A5">
        <w:t xml:space="preserve"> </w:t>
      </w:r>
      <w:proofErr w:type="gramStart"/>
      <w:r w:rsidR="0007089A">
        <w:t>Casey</w:t>
      </w:r>
      <w:r>
        <w:t xml:space="preserve"> v Automobiles </w:t>
      </w:r>
      <w:r w:rsidR="00287210">
        <w:t>Renault</w:t>
      </w:r>
      <w:r w:rsidR="00714F34">
        <w:t xml:space="preserve"> of Canada </w:t>
      </w:r>
      <w:r w:rsidR="00345DC2">
        <w:t>(1965)</w:t>
      </w:r>
      <w:r w:rsidR="00112693">
        <w:t xml:space="preserve"> 4 DLR 2</w:t>
      </w:r>
      <w:r w:rsidR="00112693" w:rsidRPr="00112693">
        <w:rPr>
          <w:vertAlign w:val="superscript"/>
        </w:rPr>
        <w:t>nd</w:t>
      </w:r>
      <w:r w:rsidR="00D870D6">
        <w:rPr>
          <w:vertAlign w:val="superscript"/>
        </w:rPr>
        <w:t xml:space="preserve"> </w:t>
      </w:r>
      <w:r w:rsidR="00D870D6">
        <w:t>600.</w:t>
      </w:r>
      <w:proofErr w:type="gramEnd"/>
    </w:p>
  </w:footnote>
  <w:footnote w:id="11">
    <w:p w:rsidR="00096034" w:rsidRDefault="00096034">
      <w:pPr>
        <w:pStyle w:val="FootnoteText"/>
      </w:pPr>
      <w:r>
        <w:rPr>
          <w:rStyle w:val="FootnoteReference"/>
        </w:rPr>
        <w:footnoteRef/>
      </w:r>
      <w:r>
        <w:t xml:space="preserve"> </w:t>
      </w:r>
      <w:proofErr w:type="spellStart"/>
      <w:r>
        <w:t>Khoury</w:t>
      </w:r>
      <w:proofErr w:type="spellEnd"/>
      <w:r w:rsidR="00336B80">
        <w:t xml:space="preserve"> v </w:t>
      </w:r>
      <w:proofErr w:type="spellStart"/>
      <w:r w:rsidR="00336B80">
        <w:t>Tabbara</w:t>
      </w:r>
      <w:proofErr w:type="spellEnd"/>
      <w:r w:rsidR="00961F0C">
        <w:t xml:space="preserve"> (1953)</w:t>
      </w:r>
      <w:r w:rsidR="00A557BA">
        <w:t xml:space="preserve"> 12 WACA </w:t>
      </w:r>
      <w:r w:rsidR="00147709">
        <w:t>246</w:t>
      </w:r>
    </w:p>
  </w:footnote>
  <w:footnote w:id="12">
    <w:p w:rsidR="00B95A27" w:rsidRDefault="00B95A27">
      <w:pPr>
        <w:pStyle w:val="FootnoteText"/>
      </w:pPr>
      <w:r>
        <w:rPr>
          <w:rStyle w:val="FootnoteReference"/>
        </w:rPr>
        <w:footnoteRef/>
      </w:r>
      <w:r>
        <w:t xml:space="preserve"> </w:t>
      </w:r>
      <w:proofErr w:type="gramStart"/>
      <w:r w:rsidRPr="00B95A27">
        <w:t>(1867) L.R.2C.P.</w:t>
      </w:r>
      <w:proofErr w:type="gramEnd"/>
      <w:r w:rsidRPr="00B95A27">
        <w:t xml:space="preserve"> 684</w:t>
      </w:r>
    </w:p>
  </w:footnote>
  <w:footnote w:id="13">
    <w:p w:rsidR="00B609BA" w:rsidRDefault="00B609BA">
      <w:pPr>
        <w:pStyle w:val="FootnoteText"/>
      </w:pPr>
      <w:r>
        <w:rPr>
          <w:rStyle w:val="FootnoteReference"/>
        </w:rPr>
        <w:footnoteRef/>
      </w:r>
      <w:r>
        <w:t xml:space="preserve"> </w:t>
      </w:r>
      <w:r w:rsidRPr="00B609BA">
        <w:t>(2014) LPELR- 22475 (CA)</w:t>
      </w:r>
    </w:p>
  </w:footnote>
  <w:footnote w:id="14">
    <w:p w:rsidR="008679BD" w:rsidRDefault="008679BD">
      <w:pPr>
        <w:pStyle w:val="FootnoteText"/>
      </w:pPr>
      <w:r>
        <w:rPr>
          <w:rStyle w:val="FootnoteReference"/>
        </w:rPr>
        <w:footnoteRef/>
      </w:r>
      <w:r>
        <w:t xml:space="preserve"> Supra</w:t>
      </w:r>
    </w:p>
  </w:footnote>
  <w:footnote w:id="15">
    <w:p w:rsidR="005F7476" w:rsidRDefault="005F7476">
      <w:pPr>
        <w:pStyle w:val="FootnoteText"/>
      </w:pPr>
      <w:r>
        <w:rPr>
          <w:rStyle w:val="FootnoteReference"/>
        </w:rPr>
        <w:footnoteRef/>
      </w:r>
      <w:r>
        <w:t xml:space="preserve"> </w:t>
      </w:r>
      <w:r w:rsidRPr="005F7476">
        <w:t>(1992) 5 NWLR (Pt.243) 588</w:t>
      </w:r>
    </w:p>
  </w:footnote>
  <w:footnote w:id="16">
    <w:p w:rsidR="00CD13EF" w:rsidRDefault="00CD13EF">
      <w:pPr>
        <w:pStyle w:val="FootnoteText"/>
      </w:pPr>
      <w:r>
        <w:rPr>
          <w:rStyle w:val="FootnoteReference"/>
        </w:rPr>
        <w:footnoteRef/>
      </w:r>
      <w:r>
        <w:t xml:space="preserve"> </w:t>
      </w:r>
      <w:r w:rsidRPr="00CD13EF">
        <w:t>(1837)3 BING N.C. 950</w:t>
      </w:r>
    </w:p>
  </w:footnote>
  <w:footnote w:id="17">
    <w:p w:rsidR="00894266" w:rsidRDefault="00894266">
      <w:pPr>
        <w:pStyle w:val="FootnoteText"/>
      </w:pPr>
      <w:r>
        <w:rPr>
          <w:rStyle w:val="FootnoteReference"/>
        </w:rPr>
        <w:footnoteRef/>
      </w:r>
      <w:r>
        <w:t xml:space="preserve"> </w:t>
      </w:r>
      <w:r w:rsidRPr="00894266">
        <w:t>(1959) WNLR 63</w:t>
      </w:r>
    </w:p>
  </w:footnote>
  <w:footnote w:id="18">
    <w:p w:rsidR="00DA0E09" w:rsidRDefault="00DA0E09">
      <w:pPr>
        <w:pStyle w:val="FootnoteText"/>
      </w:pPr>
      <w:r>
        <w:rPr>
          <w:rStyle w:val="FootnoteReference"/>
        </w:rPr>
        <w:footnoteRef/>
      </w:r>
      <w:r>
        <w:t xml:space="preserve"> </w:t>
      </w:r>
      <w:r w:rsidRPr="00DA0E09">
        <w:t>(1883) LR11 Q.B.D 440</w:t>
      </w:r>
    </w:p>
  </w:footnote>
  <w:footnote w:id="19">
    <w:p w:rsidR="00732D50" w:rsidRDefault="00732D50">
      <w:pPr>
        <w:pStyle w:val="FootnoteText"/>
      </w:pPr>
      <w:r>
        <w:rPr>
          <w:rStyle w:val="FootnoteReference"/>
        </w:rPr>
        <w:footnoteRef/>
      </w:r>
      <w:r>
        <w:t xml:space="preserve"> Supra</w:t>
      </w:r>
    </w:p>
  </w:footnote>
  <w:footnote w:id="20">
    <w:p w:rsidR="004D31A3" w:rsidRDefault="004D31A3">
      <w:pPr>
        <w:pStyle w:val="FootnoteText"/>
      </w:pPr>
      <w:r>
        <w:rPr>
          <w:rStyle w:val="FootnoteReference"/>
        </w:rPr>
        <w:footnoteRef/>
      </w:r>
      <w:r>
        <w:t xml:space="preserve"> </w:t>
      </w:r>
      <w:r w:rsidR="00A9137B">
        <w:t>Supra</w:t>
      </w:r>
    </w:p>
  </w:footnote>
  <w:footnote w:id="21">
    <w:p w:rsidR="003D1856" w:rsidRDefault="008B5080">
      <w:pPr>
        <w:pStyle w:val="FootnoteText"/>
      </w:pPr>
      <w:r>
        <w:rPr>
          <w:rStyle w:val="FootnoteReference"/>
        </w:rPr>
        <w:footnoteRef/>
      </w:r>
      <w:r>
        <w:t xml:space="preserve"> 1999 Constitution, Section 45</w:t>
      </w:r>
    </w:p>
  </w:footnote>
  <w:footnote w:id="22">
    <w:p w:rsidR="003D1856" w:rsidRDefault="003D1856">
      <w:pPr>
        <w:pStyle w:val="FootnoteText"/>
      </w:pPr>
      <w:r>
        <w:rPr>
          <w:rStyle w:val="FootnoteReference"/>
        </w:rPr>
        <w:footnoteRef/>
      </w:r>
      <w:r>
        <w:t xml:space="preserve"> </w:t>
      </w:r>
      <w:proofErr w:type="spellStart"/>
      <w:r>
        <w:t>Egbe</w:t>
      </w:r>
      <w:proofErr w:type="spellEnd"/>
      <w:r>
        <w:t xml:space="preserve"> v </w:t>
      </w:r>
      <w:proofErr w:type="spellStart"/>
      <w:r>
        <w:t>Adefarasin</w:t>
      </w:r>
      <w:proofErr w:type="spellEnd"/>
      <w:r>
        <w:t xml:space="preserve"> </w:t>
      </w:r>
      <w:r w:rsidR="00CF0706">
        <w:t xml:space="preserve">(1987), </w:t>
      </w:r>
      <w:r w:rsidR="00DF1992">
        <w:t xml:space="preserve">1 NWLR </w:t>
      </w:r>
      <w:r w:rsidR="00EA7B9A">
        <w:t xml:space="preserve"> pt. 47, P.1 SC</w:t>
      </w:r>
    </w:p>
  </w:footnote>
  <w:footnote w:id="23">
    <w:p w:rsidR="00CE6B44" w:rsidRDefault="00CE6B44">
      <w:pPr>
        <w:pStyle w:val="FootnoteText"/>
      </w:pPr>
      <w:r>
        <w:rPr>
          <w:rStyle w:val="FootnoteReference"/>
        </w:rPr>
        <w:footnoteRef/>
      </w:r>
      <w:r>
        <w:t xml:space="preserve"> Supra</w:t>
      </w:r>
    </w:p>
  </w:footnote>
  <w:footnote w:id="24">
    <w:p w:rsidR="00A427D9" w:rsidRDefault="00A427D9">
      <w:pPr>
        <w:pStyle w:val="FootnoteText"/>
      </w:pPr>
      <w:r>
        <w:rPr>
          <w:rStyle w:val="FootnoteReference"/>
        </w:rPr>
        <w:footnoteRef/>
      </w:r>
      <w:r>
        <w:t xml:space="preserve"> </w:t>
      </w:r>
      <w:proofErr w:type="spellStart"/>
      <w:proofErr w:type="gramStart"/>
      <w:r>
        <w:t>Garba</w:t>
      </w:r>
      <w:proofErr w:type="spellEnd"/>
      <w:r>
        <w:t>, Supra.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802"/>
    <w:multiLevelType w:val="hybridMultilevel"/>
    <w:tmpl w:val="7E6EEA64"/>
    <w:lvl w:ilvl="0" w:tplc="9EF804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8B8"/>
    <w:multiLevelType w:val="hybridMultilevel"/>
    <w:tmpl w:val="4824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46482"/>
    <w:multiLevelType w:val="multilevel"/>
    <w:tmpl w:val="18CA70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7F13E61"/>
    <w:multiLevelType w:val="multilevel"/>
    <w:tmpl w:val="BAF61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FE36E4"/>
    <w:multiLevelType w:val="hybridMultilevel"/>
    <w:tmpl w:val="21F65D2A"/>
    <w:lvl w:ilvl="0" w:tplc="E01899D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EB"/>
    <w:rsid w:val="00015129"/>
    <w:rsid w:val="0005685A"/>
    <w:rsid w:val="0007089A"/>
    <w:rsid w:val="00075E6B"/>
    <w:rsid w:val="000904C7"/>
    <w:rsid w:val="00096034"/>
    <w:rsid w:val="000E363B"/>
    <w:rsid w:val="00112693"/>
    <w:rsid w:val="00114E67"/>
    <w:rsid w:val="001246AF"/>
    <w:rsid w:val="0013057F"/>
    <w:rsid w:val="00133EBB"/>
    <w:rsid w:val="00133FF3"/>
    <w:rsid w:val="00135582"/>
    <w:rsid w:val="00147709"/>
    <w:rsid w:val="00147CC8"/>
    <w:rsid w:val="00164D7E"/>
    <w:rsid w:val="0016642C"/>
    <w:rsid w:val="0017078F"/>
    <w:rsid w:val="001A4914"/>
    <w:rsid w:val="001A574E"/>
    <w:rsid w:val="001D22AF"/>
    <w:rsid w:val="001E2D8A"/>
    <w:rsid w:val="001F3C03"/>
    <w:rsid w:val="001F47D7"/>
    <w:rsid w:val="00202A01"/>
    <w:rsid w:val="00203B3C"/>
    <w:rsid w:val="00210DC8"/>
    <w:rsid w:val="002319FD"/>
    <w:rsid w:val="00237E06"/>
    <w:rsid w:val="00240ACF"/>
    <w:rsid w:val="00265EA5"/>
    <w:rsid w:val="00286887"/>
    <w:rsid w:val="00287210"/>
    <w:rsid w:val="00295DC1"/>
    <w:rsid w:val="002B2E3A"/>
    <w:rsid w:val="002C0774"/>
    <w:rsid w:val="002C7C00"/>
    <w:rsid w:val="002E748F"/>
    <w:rsid w:val="002F32C9"/>
    <w:rsid w:val="0031473C"/>
    <w:rsid w:val="00336B80"/>
    <w:rsid w:val="003429C6"/>
    <w:rsid w:val="00345DC2"/>
    <w:rsid w:val="0037541D"/>
    <w:rsid w:val="00383D31"/>
    <w:rsid w:val="003A3E55"/>
    <w:rsid w:val="003A7BF5"/>
    <w:rsid w:val="003C5C76"/>
    <w:rsid w:val="003D1856"/>
    <w:rsid w:val="003F1BDD"/>
    <w:rsid w:val="00401407"/>
    <w:rsid w:val="004054DC"/>
    <w:rsid w:val="00407B8A"/>
    <w:rsid w:val="004164C7"/>
    <w:rsid w:val="004205C5"/>
    <w:rsid w:val="0042218B"/>
    <w:rsid w:val="00430A21"/>
    <w:rsid w:val="004405A5"/>
    <w:rsid w:val="00443EC6"/>
    <w:rsid w:val="0044528F"/>
    <w:rsid w:val="004459A5"/>
    <w:rsid w:val="00457053"/>
    <w:rsid w:val="00457E72"/>
    <w:rsid w:val="0046055F"/>
    <w:rsid w:val="00463A66"/>
    <w:rsid w:val="00475457"/>
    <w:rsid w:val="00487045"/>
    <w:rsid w:val="00494501"/>
    <w:rsid w:val="004A3330"/>
    <w:rsid w:val="004D31A3"/>
    <w:rsid w:val="004D4807"/>
    <w:rsid w:val="004D7700"/>
    <w:rsid w:val="004F64FF"/>
    <w:rsid w:val="00530C23"/>
    <w:rsid w:val="00587F4B"/>
    <w:rsid w:val="00595AEE"/>
    <w:rsid w:val="005A1A52"/>
    <w:rsid w:val="005A3166"/>
    <w:rsid w:val="005A35EF"/>
    <w:rsid w:val="005B3680"/>
    <w:rsid w:val="005B7F1C"/>
    <w:rsid w:val="005F7476"/>
    <w:rsid w:val="00610684"/>
    <w:rsid w:val="0062446C"/>
    <w:rsid w:val="006316D0"/>
    <w:rsid w:val="00632166"/>
    <w:rsid w:val="00636FB3"/>
    <w:rsid w:val="006736DD"/>
    <w:rsid w:val="00683B55"/>
    <w:rsid w:val="00687702"/>
    <w:rsid w:val="006910D0"/>
    <w:rsid w:val="00692233"/>
    <w:rsid w:val="006C265A"/>
    <w:rsid w:val="006D730E"/>
    <w:rsid w:val="006E38FF"/>
    <w:rsid w:val="00714F34"/>
    <w:rsid w:val="00732D50"/>
    <w:rsid w:val="00741F01"/>
    <w:rsid w:val="0075183A"/>
    <w:rsid w:val="007615F5"/>
    <w:rsid w:val="007620FD"/>
    <w:rsid w:val="00780EAD"/>
    <w:rsid w:val="00783B0B"/>
    <w:rsid w:val="007842E0"/>
    <w:rsid w:val="0078510D"/>
    <w:rsid w:val="00790AEB"/>
    <w:rsid w:val="007A7307"/>
    <w:rsid w:val="007F7024"/>
    <w:rsid w:val="00801B60"/>
    <w:rsid w:val="00840C44"/>
    <w:rsid w:val="008679BD"/>
    <w:rsid w:val="00874EF8"/>
    <w:rsid w:val="00876680"/>
    <w:rsid w:val="008770D3"/>
    <w:rsid w:val="0088294B"/>
    <w:rsid w:val="00886FD1"/>
    <w:rsid w:val="00890627"/>
    <w:rsid w:val="00894266"/>
    <w:rsid w:val="008A081A"/>
    <w:rsid w:val="008B5080"/>
    <w:rsid w:val="008B7E28"/>
    <w:rsid w:val="008C678F"/>
    <w:rsid w:val="008D081D"/>
    <w:rsid w:val="008E26C1"/>
    <w:rsid w:val="008F348B"/>
    <w:rsid w:val="00914D6E"/>
    <w:rsid w:val="00951A08"/>
    <w:rsid w:val="00961F0C"/>
    <w:rsid w:val="00962A96"/>
    <w:rsid w:val="00970F76"/>
    <w:rsid w:val="00971050"/>
    <w:rsid w:val="00975E72"/>
    <w:rsid w:val="00981EF3"/>
    <w:rsid w:val="009836C9"/>
    <w:rsid w:val="009A0584"/>
    <w:rsid w:val="009A172C"/>
    <w:rsid w:val="009D636F"/>
    <w:rsid w:val="00A24028"/>
    <w:rsid w:val="00A427D9"/>
    <w:rsid w:val="00A557BA"/>
    <w:rsid w:val="00A76F5C"/>
    <w:rsid w:val="00A9137B"/>
    <w:rsid w:val="00A928C3"/>
    <w:rsid w:val="00AA5040"/>
    <w:rsid w:val="00AB1C80"/>
    <w:rsid w:val="00AB6264"/>
    <w:rsid w:val="00AD40B0"/>
    <w:rsid w:val="00AD432C"/>
    <w:rsid w:val="00AF18D6"/>
    <w:rsid w:val="00B323C0"/>
    <w:rsid w:val="00B326DC"/>
    <w:rsid w:val="00B34B31"/>
    <w:rsid w:val="00B609BA"/>
    <w:rsid w:val="00B61345"/>
    <w:rsid w:val="00B910BB"/>
    <w:rsid w:val="00B91C54"/>
    <w:rsid w:val="00B95A27"/>
    <w:rsid w:val="00BA568E"/>
    <w:rsid w:val="00BB5854"/>
    <w:rsid w:val="00BB6C17"/>
    <w:rsid w:val="00BD51F4"/>
    <w:rsid w:val="00C1046E"/>
    <w:rsid w:val="00C13BB6"/>
    <w:rsid w:val="00C560A8"/>
    <w:rsid w:val="00C57D00"/>
    <w:rsid w:val="00C7785B"/>
    <w:rsid w:val="00C80036"/>
    <w:rsid w:val="00CA60DD"/>
    <w:rsid w:val="00CD13EF"/>
    <w:rsid w:val="00CD1687"/>
    <w:rsid w:val="00CE6B44"/>
    <w:rsid w:val="00CE7546"/>
    <w:rsid w:val="00CE7D51"/>
    <w:rsid w:val="00CF0706"/>
    <w:rsid w:val="00D03EA8"/>
    <w:rsid w:val="00D07520"/>
    <w:rsid w:val="00D3168C"/>
    <w:rsid w:val="00D37F4F"/>
    <w:rsid w:val="00D52697"/>
    <w:rsid w:val="00D56812"/>
    <w:rsid w:val="00D8111C"/>
    <w:rsid w:val="00D8226A"/>
    <w:rsid w:val="00D870D6"/>
    <w:rsid w:val="00D963B9"/>
    <w:rsid w:val="00DA0E09"/>
    <w:rsid w:val="00DA33BE"/>
    <w:rsid w:val="00DA3F2D"/>
    <w:rsid w:val="00DC5A83"/>
    <w:rsid w:val="00DE21CD"/>
    <w:rsid w:val="00DE551E"/>
    <w:rsid w:val="00DF1992"/>
    <w:rsid w:val="00E104E5"/>
    <w:rsid w:val="00E116CC"/>
    <w:rsid w:val="00E320A5"/>
    <w:rsid w:val="00E42421"/>
    <w:rsid w:val="00E77202"/>
    <w:rsid w:val="00E90F77"/>
    <w:rsid w:val="00EA7B9A"/>
    <w:rsid w:val="00EE3541"/>
    <w:rsid w:val="00EE643C"/>
    <w:rsid w:val="00F128C5"/>
    <w:rsid w:val="00F247D3"/>
    <w:rsid w:val="00F55950"/>
    <w:rsid w:val="00F55D47"/>
    <w:rsid w:val="00F5759C"/>
    <w:rsid w:val="00F61112"/>
    <w:rsid w:val="00F67190"/>
    <w:rsid w:val="00F701B2"/>
    <w:rsid w:val="00F83E81"/>
    <w:rsid w:val="00FB39DD"/>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1D"/>
    <w:pPr>
      <w:ind w:left="720"/>
      <w:contextualSpacing/>
    </w:pPr>
  </w:style>
  <w:style w:type="paragraph" w:styleId="FootnoteText">
    <w:name w:val="footnote text"/>
    <w:basedOn w:val="Normal"/>
    <w:link w:val="FootnoteTextChar"/>
    <w:uiPriority w:val="99"/>
    <w:semiHidden/>
    <w:unhideWhenUsed/>
    <w:rsid w:val="0074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F01"/>
    <w:rPr>
      <w:sz w:val="20"/>
      <w:szCs w:val="20"/>
    </w:rPr>
  </w:style>
  <w:style w:type="character" w:styleId="FootnoteReference">
    <w:name w:val="footnote reference"/>
    <w:basedOn w:val="DefaultParagraphFont"/>
    <w:uiPriority w:val="99"/>
    <w:semiHidden/>
    <w:unhideWhenUsed/>
    <w:rsid w:val="00741F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1D"/>
    <w:pPr>
      <w:ind w:left="720"/>
      <w:contextualSpacing/>
    </w:pPr>
  </w:style>
  <w:style w:type="paragraph" w:styleId="FootnoteText">
    <w:name w:val="footnote text"/>
    <w:basedOn w:val="Normal"/>
    <w:link w:val="FootnoteTextChar"/>
    <w:uiPriority w:val="99"/>
    <w:semiHidden/>
    <w:unhideWhenUsed/>
    <w:rsid w:val="00741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F01"/>
    <w:rPr>
      <w:sz w:val="20"/>
      <w:szCs w:val="20"/>
    </w:rPr>
  </w:style>
  <w:style w:type="character" w:styleId="FootnoteReference">
    <w:name w:val="footnote reference"/>
    <w:basedOn w:val="DefaultParagraphFont"/>
    <w:uiPriority w:val="99"/>
    <w:semiHidden/>
    <w:unhideWhenUsed/>
    <w:rsid w:val="00741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665A-CDF9-43AA-AB7A-DB2C59DD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210</cp:revision>
  <dcterms:created xsi:type="dcterms:W3CDTF">2020-04-29T11:57:00Z</dcterms:created>
  <dcterms:modified xsi:type="dcterms:W3CDTF">2020-04-29T14:33:00Z</dcterms:modified>
</cp:coreProperties>
</file>